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6EE" w:rsidRPr="00B077B8" w:rsidRDefault="004146EE" w:rsidP="00B077B8">
      <w:pPr>
        <w:spacing w:after="0" w:line="240" w:lineRule="auto"/>
        <w:ind w:left="720" w:firstLine="720"/>
        <w:contextualSpacing/>
        <w:jc w:val="both"/>
        <w:rPr>
          <w:rFonts w:ascii="Times New Roman" w:eastAsia="Batang" w:hAnsi="Times New Roman" w:cs="Times New Roman"/>
          <w:b/>
          <w:i/>
          <w:color w:val="000000" w:themeColor="text1"/>
          <w:sz w:val="24"/>
          <w:szCs w:val="24"/>
        </w:rPr>
      </w:pPr>
      <w:r w:rsidRPr="00B077B8">
        <w:rPr>
          <w:rFonts w:ascii="Times New Roman" w:eastAsia="Batang" w:hAnsi="Times New Roman" w:cs="Times New Roman"/>
          <w:b/>
          <w:i/>
          <w:color w:val="000000" w:themeColor="text1"/>
          <w:sz w:val="24"/>
          <w:szCs w:val="24"/>
        </w:rPr>
        <w:t>SPORTS AND RECREATION</w:t>
      </w:r>
    </w:p>
    <w:p w:rsidR="004146EE" w:rsidRPr="00E52051" w:rsidRDefault="004146EE" w:rsidP="004146EE">
      <w:pPr>
        <w:spacing w:after="0" w:line="240" w:lineRule="auto"/>
        <w:contextualSpacing/>
        <w:jc w:val="both"/>
        <w:rPr>
          <w:rFonts w:ascii="Times New Roman" w:eastAsia="Batang" w:hAnsi="Times New Roman" w:cs="Times New Roman"/>
          <w:b/>
          <w:color w:val="000000" w:themeColor="text1"/>
          <w:sz w:val="24"/>
          <w:szCs w:val="24"/>
        </w:rPr>
      </w:pPr>
    </w:p>
    <w:p w:rsidR="004146EE" w:rsidRPr="00E52051" w:rsidRDefault="004146EE" w:rsidP="004146EE">
      <w:pPr>
        <w:spacing w:after="0" w:line="360" w:lineRule="auto"/>
        <w:ind w:left="1440"/>
        <w:contextualSpacing/>
        <w:jc w:val="both"/>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 xml:space="preserve">Sports and recreation in the Municipality of </w:t>
      </w:r>
      <w:proofErr w:type="spellStart"/>
      <w:r w:rsidRPr="00E52051">
        <w:rPr>
          <w:rFonts w:ascii="Times New Roman" w:eastAsia="Batang" w:hAnsi="Times New Roman" w:cs="Times New Roman"/>
          <w:color w:val="000000" w:themeColor="text1"/>
          <w:sz w:val="24"/>
          <w:szCs w:val="24"/>
        </w:rPr>
        <w:t>Mangaldan</w:t>
      </w:r>
      <w:proofErr w:type="spellEnd"/>
      <w:r w:rsidRPr="00E52051">
        <w:rPr>
          <w:rFonts w:ascii="Times New Roman" w:eastAsia="Batang" w:hAnsi="Times New Roman" w:cs="Times New Roman"/>
          <w:color w:val="000000" w:themeColor="text1"/>
          <w:sz w:val="24"/>
          <w:szCs w:val="24"/>
        </w:rPr>
        <w:t xml:space="preserve"> offer</w:t>
      </w:r>
      <w:r>
        <w:rPr>
          <w:rFonts w:ascii="Times New Roman" w:eastAsia="Batang" w:hAnsi="Times New Roman" w:cs="Times New Roman"/>
          <w:color w:val="000000" w:themeColor="text1"/>
          <w:sz w:val="24"/>
          <w:szCs w:val="24"/>
        </w:rPr>
        <w:t>s</w:t>
      </w:r>
      <w:r w:rsidRPr="00E52051">
        <w:rPr>
          <w:rFonts w:ascii="Times New Roman" w:eastAsia="Batang" w:hAnsi="Times New Roman" w:cs="Times New Roman"/>
          <w:color w:val="000000" w:themeColor="text1"/>
          <w:sz w:val="24"/>
          <w:szCs w:val="24"/>
        </w:rPr>
        <w:t xml:space="preserve"> a range of services and support to promote an active and healthy lifestyle.  From training</w:t>
      </w:r>
      <w:r>
        <w:rPr>
          <w:rFonts w:ascii="Times New Roman" w:eastAsia="Batang" w:hAnsi="Times New Roman" w:cs="Times New Roman"/>
          <w:color w:val="000000" w:themeColor="text1"/>
          <w:sz w:val="24"/>
          <w:szCs w:val="24"/>
        </w:rPr>
        <w:t xml:space="preserve"> programs, the local government </w:t>
      </w:r>
      <w:r w:rsidRPr="00E52051">
        <w:rPr>
          <w:rFonts w:ascii="Times New Roman" w:eastAsia="Batang" w:hAnsi="Times New Roman" w:cs="Times New Roman"/>
          <w:color w:val="000000" w:themeColor="text1"/>
          <w:sz w:val="24"/>
          <w:szCs w:val="24"/>
        </w:rPr>
        <w:t>work</w:t>
      </w:r>
      <w:r>
        <w:rPr>
          <w:rFonts w:ascii="Times New Roman" w:eastAsia="Batang" w:hAnsi="Times New Roman" w:cs="Times New Roman"/>
          <w:color w:val="000000" w:themeColor="text1"/>
          <w:sz w:val="24"/>
          <w:szCs w:val="24"/>
        </w:rPr>
        <w:t>s</w:t>
      </w:r>
      <w:r w:rsidRPr="00E52051">
        <w:rPr>
          <w:rFonts w:ascii="Times New Roman" w:eastAsia="Batang" w:hAnsi="Times New Roman" w:cs="Times New Roman"/>
          <w:color w:val="000000" w:themeColor="text1"/>
          <w:sz w:val="24"/>
          <w:szCs w:val="24"/>
        </w:rPr>
        <w:t xml:space="preserve"> closely together with the citizens particularly the youth and the elderly to build strong, inclusive and active communities. The People of </w:t>
      </w:r>
      <w:proofErr w:type="spellStart"/>
      <w:r w:rsidRPr="00E52051">
        <w:rPr>
          <w:rFonts w:ascii="Times New Roman" w:eastAsia="Batang" w:hAnsi="Times New Roman" w:cs="Times New Roman"/>
          <w:color w:val="000000" w:themeColor="text1"/>
          <w:sz w:val="24"/>
          <w:szCs w:val="24"/>
        </w:rPr>
        <w:t>Mangaldan</w:t>
      </w:r>
      <w:proofErr w:type="spellEnd"/>
      <w:r w:rsidRPr="00E52051">
        <w:rPr>
          <w:rFonts w:ascii="Times New Roman" w:eastAsia="Batang" w:hAnsi="Times New Roman" w:cs="Times New Roman"/>
          <w:color w:val="000000" w:themeColor="text1"/>
          <w:sz w:val="24"/>
          <w:szCs w:val="24"/>
        </w:rPr>
        <w:t xml:space="preserve"> believe</w:t>
      </w:r>
      <w:r>
        <w:rPr>
          <w:rFonts w:ascii="Times New Roman" w:eastAsia="Batang" w:hAnsi="Times New Roman" w:cs="Times New Roman"/>
          <w:color w:val="000000" w:themeColor="text1"/>
          <w:sz w:val="24"/>
          <w:szCs w:val="24"/>
        </w:rPr>
        <w:t xml:space="preserve"> that</w:t>
      </w:r>
      <w:r w:rsidRPr="00E52051">
        <w:rPr>
          <w:rFonts w:ascii="Times New Roman" w:eastAsia="Batang" w:hAnsi="Times New Roman" w:cs="Times New Roman"/>
          <w:color w:val="000000" w:themeColor="text1"/>
          <w:sz w:val="24"/>
          <w:szCs w:val="24"/>
        </w:rPr>
        <w:t xml:space="preserve"> sport and recreation is for everyone and they make </w:t>
      </w:r>
      <w:r>
        <w:rPr>
          <w:rFonts w:ascii="Times New Roman" w:eastAsia="Batang" w:hAnsi="Times New Roman" w:cs="Times New Roman"/>
          <w:color w:val="000000" w:themeColor="text1"/>
          <w:sz w:val="24"/>
          <w:szCs w:val="24"/>
        </w:rPr>
        <w:t xml:space="preserve">it </w:t>
      </w:r>
      <w:r w:rsidRPr="00E52051">
        <w:rPr>
          <w:rFonts w:ascii="Times New Roman" w:eastAsia="Batang" w:hAnsi="Times New Roman" w:cs="Times New Roman"/>
          <w:color w:val="000000" w:themeColor="text1"/>
          <w:sz w:val="24"/>
          <w:szCs w:val="24"/>
        </w:rPr>
        <w:t xml:space="preserve">possible through increased opportunities for the people with disabilities, women, seniors and the youth. With vast area allotted for sports and recreational facilities that could offer not only to the people of </w:t>
      </w:r>
      <w:proofErr w:type="spellStart"/>
      <w:r w:rsidRPr="00E52051">
        <w:rPr>
          <w:rFonts w:ascii="Times New Roman" w:eastAsia="Batang" w:hAnsi="Times New Roman" w:cs="Times New Roman"/>
          <w:color w:val="000000" w:themeColor="text1"/>
          <w:sz w:val="24"/>
          <w:szCs w:val="24"/>
        </w:rPr>
        <w:t>Mangaldan</w:t>
      </w:r>
      <w:proofErr w:type="spellEnd"/>
      <w:r w:rsidRPr="00E52051">
        <w:rPr>
          <w:rFonts w:ascii="Times New Roman" w:eastAsia="Batang" w:hAnsi="Times New Roman" w:cs="Times New Roman"/>
          <w:color w:val="000000" w:themeColor="text1"/>
          <w:sz w:val="24"/>
          <w:szCs w:val="24"/>
        </w:rPr>
        <w:t xml:space="preserve">, but also host big events </w:t>
      </w:r>
      <w:r>
        <w:rPr>
          <w:rFonts w:ascii="Times New Roman" w:eastAsia="Batang" w:hAnsi="Times New Roman" w:cs="Times New Roman"/>
          <w:color w:val="000000" w:themeColor="text1"/>
          <w:sz w:val="24"/>
          <w:szCs w:val="24"/>
        </w:rPr>
        <w:t>during</w:t>
      </w:r>
      <w:r w:rsidRPr="00E52051">
        <w:rPr>
          <w:rFonts w:ascii="Times New Roman" w:eastAsia="Batang" w:hAnsi="Times New Roman" w:cs="Times New Roman"/>
          <w:color w:val="000000" w:themeColor="text1"/>
          <w:sz w:val="24"/>
          <w:szCs w:val="24"/>
        </w:rPr>
        <w:t xml:space="preserve"> Provincial activities. </w:t>
      </w:r>
    </w:p>
    <w:p w:rsidR="004146EE" w:rsidRDefault="004146EE" w:rsidP="004146EE">
      <w:pPr>
        <w:spacing w:after="0" w:line="240" w:lineRule="auto"/>
        <w:contextualSpacing/>
        <w:jc w:val="both"/>
        <w:rPr>
          <w:rFonts w:ascii="Times New Roman" w:eastAsia="Batang" w:hAnsi="Times New Roman" w:cs="Times New Roman"/>
          <w:b/>
          <w:color w:val="000000" w:themeColor="text1"/>
          <w:sz w:val="24"/>
          <w:szCs w:val="24"/>
        </w:rPr>
      </w:pPr>
    </w:p>
    <w:p w:rsidR="004146EE" w:rsidRPr="00032F70" w:rsidRDefault="004146EE" w:rsidP="004146EE">
      <w:pPr>
        <w:spacing w:after="0" w:line="240" w:lineRule="auto"/>
        <w:ind w:left="720" w:firstLine="720"/>
        <w:contextualSpacing/>
        <w:jc w:val="both"/>
        <w:rPr>
          <w:rFonts w:ascii="Times New Roman" w:eastAsia="Batang" w:hAnsi="Times New Roman" w:cs="Times New Roman"/>
          <w:b/>
          <w:i/>
          <w:color w:val="000000" w:themeColor="text1"/>
          <w:sz w:val="24"/>
          <w:szCs w:val="24"/>
        </w:rPr>
      </w:pPr>
      <w:r w:rsidRPr="00032F70">
        <w:rPr>
          <w:rFonts w:ascii="Times New Roman" w:eastAsia="Batang" w:hAnsi="Times New Roman" w:cs="Times New Roman"/>
          <w:b/>
          <w:i/>
          <w:color w:val="000000" w:themeColor="text1"/>
          <w:sz w:val="24"/>
          <w:szCs w:val="24"/>
        </w:rPr>
        <w:t>Situational Analysis</w:t>
      </w:r>
    </w:p>
    <w:p w:rsidR="004146EE" w:rsidRDefault="004146EE" w:rsidP="004146EE">
      <w:pPr>
        <w:spacing w:after="0" w:line="240" w:lineRule="auto"/>
        <w:ind w:firstLine="720"/>
        <w:contextualSpacing/>
        <w:jc w:val="both"/>
        <w:rPr>
          <w:rFonts w:ascii="Times New Roman" w:eastAsia="Batang" w:hAnsi="Times New Roman" w:cs="Times New Roman"/>
          <w:b/>
          <w:color w:val="000000" w:themeColor="text1"/>
          <w:sz w:val="24"/>
          <w:szCs w:val="24"/>
        </w:rPr>
      </w:pPr>
    </w:p>
    <w:p w:rsidR="004146EE" w:rsidRPr="00061087" w:rsidRDefault="004146EE" w:rsidP="004146EE">
      <w:pPr>
        <w:spacing w:line="360" w:lineRule="auto"/>
        <w:ind w:left="720" w:firstLine="720"/>
        <w:jc w:val="both"/>
        <w:rPr>
          <w:rFonts w:ascii="Times New Roman" w:hAnsi="Times New Roman" w:cs="Times New Roman"/>
          <w:b/>
          <w:sz w:val="24"/>
          <w:szCs w:val="24"/>
        </w:rPr>
      </w:pPr>
      <w:r w:rsidRPr="00061087">
        <w:rPr>
          <w:rFonts w:ascii="Times New Roman" w:hAnsi="Times New Roman" w:cs="Times New Roman"/>
          <w:b/>
          <w:sz w:val="24"/>
          <w:szCs w:val="24"/>
        </w:rPr>
        <w:t xml:space="preserve">Sports and Recreation Interests </w:t>
      </w:r>
    </w:p>
    <w:p w:rsidR="004146EE" w:rsidRPr="00061087" w:rsidRDefault="004146EE" w:rsidP="004146EE">
      <w:pPr>
        <w:spacing w:line="360" w:lineRule="auto"/>
        <w:ind w:left="1440"/>
        <w:jc w:val="both"/>
        <w:rPr>
          <w:rFonts w:ascii="Times New Roman" w:hAnsi="Times New Roman" w:cs="Times New Roman"/>
          <w:sz w:val="24"/>
          <w:szCs w:val="24"/>
        </w:rPr>
      </w:pPr>
      <w:r w:rsidRPr="00061087">
        <w:rPr>
          <w:rFonts w:ascii="Times New Roman" w:hAnsi="Times New Roman" w:cs="Times New Roman"/>
          <w:sz w:val="24"/>
          <w:szCs w:val="24"/>
        </w:rPr>
        <w:t xml:space="preserve">The people of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are lovers of both outdoor and indoor sports.  In the barangay level, the outdoor sports well-liked by the barangay folks are baseball, softball, lawn tennis, volleyball and basketball.  Baseball and softball are usually played after harvest season making use of the fields as their diamonds.  At present, driven by their burning interest in sports, basketball courts are no longer a rarity in the barangay levels.  Many barangays have put up their basketball courts in private lots, not only in the school compound that attests to the growing enthusiasm of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folks in sports.</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In schools particularly in the intermediate and secondary levels, organized sports groups are formed like table tennis, lawn tennis, basketball, baseball, softball, taekwondo, volleyball, badminton and chess under competent coaches and </w:t>
      </w:r>
      <w:proofErr w:type="spellStart"/>
      <w:r w:rsidRPr="00061087">
        <w:rPr>
          <w:rFonts w:ascii="Times New Roman" w:hAnsi="Times New Roman" w:cs="Times New Roman"/>
          <w:sz w:val="24"/>
          <w:szCs w:val="24"/>
        </w:rPr>
        <w:t>trainors</w:t>
      </w:r>
      <w:proofErr w:type="spellEnd"/>
      <w:r w:rsidRPr="00061087">
        <w:rPr>
          <w:rFonts w:ascii="Times New Roman" w:hAnsi="Times New Roman" w:cs="Times New Roman"/>
          <w:sz w:val="24"/>
          <w:szCs w:val="24"/>
        </w:rPr>
        <w:t xml:space="preserve">.  In the Division Meet 2014,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has produced Champion Athletes in Taekwondo and Chess (John Marx </w:t>
      </w:r>
      <w:proofErr w:type="spellStart"/>
      <w:r w:rsidRPr="00061087">
        <w:rPr>
          <w:rFonts w:ascii="Times New Roman" w:hAnsi="Times New Roman" w:cs="Times New Roman"/>
          <w:sz w:val="24"/>
          <w:szCs w:val="24"/>
        </w:rPr>
        <w:t>Anastacio</w:t>
      </w:r>
      <w:proofErr w:type="spellEnd"/>
      <w:r w:rsidRPr="00061087">
        <w:rPr>
          <w:rFonts w:ascii="Times New Roman" w:hAnsi="Times New Roman" w:cs="Times New Roman"/>
          <w:sz w:val="24"/>
          <w:szCs w:val="24"/>
        </w:rPr>
        <w:t xml:space="preserve">). During the R1AA,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won 5</w:t>
      </w:r>
      <w:r w:rsidRPr="00061087">
        <w:rPr>
          <w:rFonts w:ascii="Times New Roman" w:hAnsi="Times New Roman" w:cs="Times New Roman"/>
          <w:sz w:val="24"/>
          <w:szCs w:val="24"/>
          <w:vertAlign w:val="superscript"/>
        </w:rPr>
        <w:t>th</w:t>
      </w:r>
      <w:r w:rsidRPr="00061087">
        <w:rPr>
          <w:rFonts w:ascii="Times New Roman" w:hAnsi="Times New Roman" w:cs="Times New Roman"/>
          <w:sz w:val="24"/>
          <w:szCs w:val="24"/>
        </w:rPr>
        <w:t xml:space="preserve"> place (</w:t>
      </w:r>
      <w:proofErr w:type="spellStart"/>
      <w:r w:rsidRPr="00061087">
        <w:rPr>
          <w:rFonts w:ascii="Times New Roman" w:hAnsi="Times New Roman" w:cs="Times New Roman"/>
          <w:sz w:val="24"/>
          <w:szCs w:val="24"/>
        </w:rPr>
        <w:t>Cyrine</w:t>
      </w:r>
      <w:proofErr w:type="spellEnd"/>
      <w:r w:rsidRPr="00061087">
        <w:rPr>
          <w:rFonts w:ascii="Times New Roman" w:hAnsi="Times New Roman" w:cs="Times New Roman"/>
          <w:sz w:val="24"/>
          <w:szCs w:val="24"/>
        </w:rPr>
        <w:t xml:space="preserve"> Nichole M. </w:t>
      </w:r>
      <w:proofErr w:type="spellStart"/>
      <w:r w:rsidRPr="00061087">
        <w:rPr>
          <w:rFonts w:ascii="Times New Roman" w:hAnsi="Times New Roman" w:cs="Times New Roman"/>
          <w:sz w:val="24"/>
          <w:szCs w:val="24"/>
        </w:rPr>
        <w:t>Condes</w:t>
      </w:r>
      <w:proofErr w:type="spellEnd"/>
      <w:proofErr w:type="gramStart"/>
      <w:r w:rsidRPr="00061087">
        <w:rPr>
          <w:rFonts w:ascii="Times New Roman" w:hAnsi="Times New Roman" w:cs="Times New Roman"/>
          <w:sz w:val="24"/>
          <w:szCs w:val="24"/>
        </w:rPr>
        <w:t>)-</w:t>
      </w:r>
      <w:proofErr w:type="gramEnd"/>
      <w:r w:rsidRPr="00061087">
        <w:rPr>
          <w:rFonts w:ascii="Times New Roman" w:hAnsi="Times New Roman" w:cs="Times New Roman"/>
          <w:sz w:val="24"/>
          <w:szCs w:val="24"/>
        </w:rPr>
        <w:t xml:space="preserve"> elementary.</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In dance sport, the </w:t>
      </w:r>
      <w:proofErr w:type="spellStart"/>
      <w:r w:rsidRPr="00061087">
        <w:rPr>
          <w:rStyle w:val="Strong"/>
          <w:rFonts w:ascii="Times New Roman" w:hAnsi="Times New Roman" w:cs="Times New Roman"/>
          <w:i/>
          <w:iCs/>
          <w:color w:val="404040"/>
          <w:sz w:val="24"/>
          <w:szCs w:val="24"/>
          <w:bdr w:val="none" w:sz="0" w:space="0" w:color="auto" w:frame="1"/>
          <w:shd w:val="clear" w:color="auto" w:fill="FFFFFF"/>
        </w:rPr>
        <w:t>Boyz</w:t>
      </w:r>
      <w:proofErr w:type="spellEnd"/>
      <w:r w:rsidRPr="00061087">
        <w:rPr>
          <w:rStyle w:val="Strong"/>
          <w:rFonts w:ascii="Times New Roman" w:hAnsi="Times New Roman" w:cs="Times New Roman"/>
          <w:i/>
          <w:iCs/>
          <w:color w:val="404040"/>
          <w:sz w:val="24"/>
          <w:szCs w:val="24"/>
          <w:bdr w:val="none" w:sz="0" w:space="0" w:color="auto" w:frame="1"/>
          <w:shd w:val="clear" w:color="auto" w:fill="FFFFFF"/>
        </w:rPr>
        <w:t xml:space="preserve"> Unlimited Dancers </w:t>
      </w:r>
      <w:r w:rsidRPr="00061087">
        <w:rPr>
          <w:rFonts w:ascii="Times New Roman" w:hAnsi="Times New Roman" w:cs="Times New Roman"/>
          <w:color w:val="404040"/>
          <w:sz w:val="24"/>
          <w:szCs w:val="24"/>
          <w:shd w:val="clear" w:color="auto" w:fill="FFFFFF"/>
        </w:rPr>
        <w:t>is one of the Philippine’s best dance crews with back to back championship record from one of the most-prestigious international dance competition, the World Supremacy Battlegrounds in which the crew bagged gold for two consecutive years of joining the competition held in Sydney Australia year 2011 &amp; 2012.</w:t>
      </w:r>
      <w:r w:rsidRPr="00061087">
        <w:rPr>
          <w:rFonts w:ascii="Times New Roman" w:hAnsi="Times New Roman" w:cs="Times New Roman"/>
          <w:sz w:val="24"/>
          <w:szCs w:val="24"/>
        </w:rPr>
        <w:t xml:space="preserve"> </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 others simply indulge themselves in passive indoor activities like reading, TV or VHS viewing.  Popular among the children are video games especially in the computer shops within </w:t>
      </w:r>
      <w:proofErr w:type="spellStart"/>
      <w:r w:rsidRPr="00061087">
        <w:rPr>
          <w:rFonts w:ascii="Times New Roman" w:hAnsi="Times New Roman" w:cs="Times New Roman"/>
          <w:sz w:val="24"/>
          <w:szCs w:val="24"/>
        </w:rPr>
        <w:t>Poblacion</w:t>
      </w:r>
      <w:proofErr w:type="spellEnd"/>
      <w:r w:rsidRPr="00061087">
        <w:rPr>
          <w:rFonts w:ascii="Times New Roman" w:hAnsi="Times New Roman" w:cs="Times New Roman"/>
          <w:sz w:val="24"/>
          <w:szCs w:val="24"/>
        </w:rPr>
        <w:t xml:space="preserve">.  </w:t>
      </w:r>
    </w:p>
    <w:p w:rsidR="0053462C" w:rsidRDefault="0053462C" w:rsidP="004146EE">
      <w:pPr>
        <w:spacing w:line="360" w:lineRule="auto"/>
        <w:ind w:left="720" w:firstLine="630"/>
        <w:jc w:val="both"/>
        <w:rPr>
          <w:rFonts w:ascii="Times New Roman" w:hAnsi="Times New Roman" w:cs="Times New Roman"/>
          <w:b/>
          <w:sz w:val="24"/>
          <w:szCs w:val="24"/>
        </w:rPr>
      </w:pPr>
    </w:p>
    <w:p w:rsidR="004146EE" w:rsidRPr="00061087" w:rsidRDefault="004146EE" w:rsidP="004146EE">
      <w:pPr>
        <w:spacing w:line="360" w:lineRule="auto"/>
        <w:ind w:left="720" w:firstLine="630"/>
        <w:jc w:val="both"/>
        <w:rPr>
          <w:rFonts w:ascii="Times New Roman" w:hAnsi="Times New Roman" w:cs="Times New Roman"/>
          <w:b/>
          <w:sz w:val="24"/>
          <w:szCs w:val="24"/>
        </w:rPr>
      </w:pPr>
      <w:r w:rsidRPr="00061087">
        <w:rPr>
          <w:rFonts w:ascii="Times New Roman" w:hAnsi="Times New Roman" w:cs="Times New Roman"/>
          <w:b/>
          <w:sz w:val="24"/>
          <w:szCs w:val="24"/>
        </w:rPr>
        <w:lastRenderedPageBreak/>
        <w:t>Sports and</w:t>
      </w:r>
      <w:r w:rsidRPr="00061087">
        <w:rPr>
          <w:rFonts w:ascii="Times New Roman" w:hAnsi="Times New Roman" w:cs="Times New Roman"/>
          <w:sz w:val="24"/>
          <w:szCs w:val="24"/>
        </w:rPr>
        <w:t xml:space="preserve"> </w:t>
      </w:r>
      <w:r w:rsidRPr="00061087">
        <w:rPr>
          <w:rFonts w:ascii="Times New Roman" w:hAnsi="Times New Roman" w:cs="Times New Roman"/>
          <w:b/>
          <w:sz w:val="24"/>
          <w:szCs w:val="24"/>
        </w:rPr>
        <w:t>Recreation Facilities and Services</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I Central School has a wide playground that can accommodate all events in sports played during Division and Regional Athletic Meets.  It has </w:t>
      </w:r>
      <w:proofErr w:type="gramStart"/>
      <w:r w:rsidRPr="00061087">
        <w:rPr>
          <w:rFonts w:ascii="Times New Roman" w:hAnsi="Times New Roman" w:cs="Times New Roman"/>
          <w:sz w:val="24"/>
          <w:szCs w:val="24"/>
        </w:rPr>
        <w:t>one (1) tennis</w:t>
      </w:r>
      <w:proofErr w:type="gramEnd"/>
      <w:r w:rsidRPr="00061087">
        <w:rPr>
          <w:rFonts w:ascii="Times New Roman" w:hAnsi="Times New Roman" w:cs="Times New Roman"/>
          <w:sz w:val="24"/>
          <w:szCs w:val="24"/>
        </w:rPr>
        <w:t xml:space="preserve"> court, a people’s court, one (1) basketball court, an oval shaped ground for track and field, and a diamond shaped ground for baseball, softball and football and two (2) courts for volleyball.  It has been for several times the site for </w:t>
      </w:r>
      <w:proofErr w:type="spellStart"/>
      <w:r w:rsidRPr="00061087">
        <w:rPr>
          <w:rFonts w:ascii="Times New Roman" w:hAnsi="Times New Roman" w:cs="Times New Roman"/>
          <w:sz w:val="24"/>
          <w:szCs w:val="24"/>
        </w:rPr>
        <w:t>Palarong</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Panlalawigan</w:t>
      </w:r>
      <w:proofErr w:type="spellEnd"/>
      <w:r w:rsidRPr="00061087">
        <w:rPr>
          <w:rFonts w:ascii="Times New Roman" w:hAnsi="Times New Roman" w:cs="Times New Roman"/>
          <w:sz w:val="24"/>
          <w:szCs w:val="24"/>
        </w:rPr>
        <w:t xml:space="preserve"> and the R1AA formerly known as </w:t>
      </w:r>
      <w:proofErr w:type="spellStart"/>
      <w:r w:rsidRPr="00061087">
        <w:rPr>
          <w:rFonts w:ascii="Times New Roman" w:hAnsi="Times New Roman" w:cs="Times New Roman"/>
          <w:sz w:val="24"/>
          <w:szCs w:val="24"/>
        </w:rPr>
        <w:t>Ilocos</w:t>
      </w:r>
      <w:proofErr w:type="spellEnd"/>
      <w:r w:rsidRPr="00061087">
        <w:rPr>
          <w:rFonts w:ascii="Times New Roman" w:hAnsi="Times New Roman" w:cs="Times New Roman"/>
          <w:sz w:val="24"/>
          <w:szCs w:val="24"/>
        </w:rPr>
        <w:t xml:space="preserve"> Region Athletic (IRAA) Meet.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hosted the Division II </w:t>
      </w:r>
      <w:proofErr w:type="spellStart"/>
      <w:r w:rsidRPr="00061087">
        <w:rPr>
          <w:rFonts w:ascii="Times New Roman" w:hAnsi="Times New Roman" w:cs="Times New Roman"/>
          <w:sz w:val="24"/>
          <w:szCs w:val="24"/>
        </w:rPr>
        <w:t>Pangasinan</w:t>
      </w:r>
      <w:proofErr w:type="spellEnd"/>
      <w:r w:rsidRPr="00061087">
        <w:rPr>
          <w:rFonts w:ascii="Times New Roman" w:hAnsi="Times New Roman" w:cs="Times New Roman"/>
          <w:sz w:val="24"/>
          <w:szCs w:val="24"/>
        </w:rPr>
        <w:t xml:space="preserve"> Meet Last January 2010.</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In the barangay Level, many barangays have now basketball courts in private lots aside from those found in the school compound.  These barangays are </w:t>
      </w:r>
      <w:proofErr w:type="spellStart"/>
      <w:r w:rsidRPr="00061087">
        <w:rPr>
          <w:rFonts w:ascii="Times New Roman" w:hAnsi="Times New Roman" w:cs="Times New Roman"/>
          <w:sz w:val="24"/>
          <w:szCs w:val="24"/>
        </w:rPr>
        <w:t>Alitaya</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Amansabina</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Anolid</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Banaoang</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Buenlag</w:t>
      </w:r>
      <w:proofErr w:type="spellEnd"/>
      <w:r w:rsidRPr="00061087">
        <w:rPr>
          <w:rFonts w:ascii="Times New Roman" w:hAnsi="Times New Roman" w:cs="Times New Roman"/>
          <w:sz w:val="24"/>
          <w:szCs w:val="24"/>
        </w:rPr>
        <w:t xml:space="preserve">, David, Embarcadero, </w:t>
      </w:r>
      <w:proofErr w:type="spellStart"/>
      <w:r w:rsidRPr="00061087">
        <w:rPr>
          <w:rFonts w:ascii="Times New Roman" w:hAnsi="Times New Roman" w:cs="Times New Roman"/>
          <w:sz w:val="24"/>
          <w:szCs w:val="24"/>
        </w:rPr>
        <w:t>Guiguilonen</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Lanas</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Landas</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Maasin</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Malabago</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Navaluan</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Osiem</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Palua</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Poblacion</w:t>
      </w:r>
      <w:proofErr w:type="spellEnd"/>
      <w:r w:rsidRPr="00061087">
        <w:rPr>
          <w:rFonts w:ascii="Times New Roman" w:hAnsi="Times New Roman" w:cs="Times New Roman"/>
          <w:sz w:val="24"/>
          <w:szCs w:val="24"/>
        </w:rPr>
        <w:t xml:space="preserve">, Pogo, </w:t>
      </w:r>
      <w:proofErr w:type="spellStart"/>
      <w:r w:rsidRPr="00061087">
        <w:rPr>
          <w:rFonts w:ascii="Times New Roman" w:hAnsi="Times New Roman" w:cs="Times New Roman"/>
          <w:sz w:val="24"/>
          <w:szCs w:val="24"/>
        </w:rPr>
        <w:t>Salaan</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Salay</w:t>
      </w:r>
      <w:proofErr w:type="spellEnd"/>
      <w:r w:rsidRPr="00061087">
        <w:rPr>
          <w:rFonts w:ascii="Times New Roman" w:hAnsi="Times New Roman" w:cs="Times New Roman"/>
          <w:sz w:val="24"/>
          <w:szCs w:val="24"/>
        </w:rPr>
        <w:t xml:space="preserve"> and </w:t>
      </w:r>
      <w:proofErr w:type="spellStart"/>
      <w:r w:rsidRPr="00061087">
        <w:rPr>
          <w:rFonts w:ascii="Times New Roman" w:hAnsi="Times New Roman" w:cs="Times New Roman"/>
          <w:sz w:val="24"/>
          <w:szCs w:val="24"/>
        </w:rPr>
        <w:t>Talogtog</w:t>
      </w:r>
      <w:proofErr w:type="spellEnd"/>
      <w:r w:rsidRPr="00061087">
        <w:rPr>
          <w:rFonts w:ascii="Times New Roman" w:hAnsi="Times New Roman" w:cs="Times New Roman"/>
          <w:sz w:val="24"/>
          <w:szCs w:val="24"/>
        </w:rPr>
        <w:t xml:space="preserve">.  The existing playgrounds in the school compounds are used for recreational activities and other sports like badminton, baseball, softball and volleyball.            </w:t>
      </w:r>
    </w:p>
    <w:p w:rsidR="004146EE" w:rsidRPr="00061087" w:rsidRDefault="004146EE" w:rsidP="004146EE">
      <w:pPr>
        <w:spacing w:after="120"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Youth Development Center now </w:t>
      </w:r>
      <w:proofErr w:type="spellStart"/>
      <w:r w:rsidRPr="00061087">
        <w:rPr>
          <w:rFonts w:ascii="Times New Roman" w:hAnsi="Times New Roman" w:cs="Times New Roman"/>
          <w:sz w:val="24"/>
          <w:szCs w:val="24"/>
        </w:rPr>
        <w:t>Macario</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Ydia</w:t>
      </w:r>
      <w:proofErr w:type="spellEnd"/>
      <w:r w:rsidRPr="00061087">
        <w:rPr>
          <w:rFonts w:ascii="Times New Roman" w:hAnsi="Times New Roman" w:cs="Times New Roman"/>
          <w:sz w:val="24"/>
          <w:szCs w:val="24"/>
        </w:rPr>
        <w:t xml:space="preserve"> Development Center (MYDC) by virtue of Resolution No. 97-47 dated June 6, 1997 conceptualized and constructed thru the initiative of Former Mayor </w:t>
      </w:r>
      <w:proofErr w:type="spellStart"/>
      <w:r w:rsidRPr="00061087">
        <w:rPr>
          <w:rFonts w:ascii="Times New Roman" w:hAnsi="Times New Roman" w:cs="Times New Roman"/>
          <w:sz w:val="24"/>
          <w:szCs w:val="24"/>
        </w:rPr>
        <w:t>Macario</w:t>
      </w:r>
      <w:proofErr w:type="spellEnd"/>
      <w:r w:rsidRPr="00061087">
        <w:rPr>
          <w:rFonts w:ascii="Times New Roman" w:hAnsi="Times New Roman" w:cs="Times New Roman"/>
          <w:sz w:val="24"/>
          <w:szCs w:val="24"/>
        </w:rPr>
        <w:t xml:space="preserve"> G. </w:t>
      </w:r>
      <w:proofErr w:type="spellStart"/>
      <w:r w:rsidRPr="00061087">
        <w:rPr>
          <w:rFonts w:ascii="Times New Roman" w:hAnsi="Times New Roman" w:cs="Times New Roman"/>
          <w:sz w:val="24"/>
          <w:szCs w:val="24"/>
        </w:rPr>
        <w:t>Ydia</w:t>
      </w:r>
      <w:proofErr w:type="spellEnd"/>
      <w:r w:rsidRPr="00061087">
        <w:rPr>
          <w:rFonts w:ascii="Times New Roman" w:hAnsi="Times New Roman" w:cs="Times New Roman"/>
          <w:sz w:val="24"/>
          <w:szCs w:val="24"/>
        </w:rPr>
        <w:t xml:space="preserve"> in 1979 and was completed and made operational thru the zealous leadership of Mayor </w:t>
      </w:r>
      <w:proofErr w:type="spellStart"/>
      <w:r w:rsidRPr="00061087">
        <w:rPr>
          <w:rFonts w:ascii="Times New Roman" w:hAnsi="Times New Roman" w:cs="Times New Roman"/>
          <w:sz w:val="24"/>
          <w:szCs w:val="24"/>
        </w:rPr>
        <w:t>Benigno</w:t>
      </w:r>
      <w:proofErr w:type="spellEnd"/>
      <w:r w:rsidRPr="00061087">
        <w:rPr>
          <w:rFonts w:ascii="Times New Roman" w:hAnsi="Times New Roman" w:cs="Times New Roman"/>
          <w:sz w:val="24"/>
          <w:szCs w:val="24"/>
        </w:rPr>
        <w:t xml:space="preserve"> M. </w:t>
      </w:r>
      <w:proofErr w:type="spellStart"/>
      <w:r w:rsidRPr="00061087">
        <w:rPr>
          <w:rFonts w:ascii="Times New Roman" w:hAnsi="Times New Roman" w:cs="Times New Roman"/>
          <w:sz w:val="24"/>
          <w:szCs w:val="24"/>
        </w:rPr>
        <w:t>Gubatan</w:t>
      </w:r>
      <w:proofErr w:type="spellEnd"/>
      <w:r w:rsidRPr="00061087">
        <w:rPr>
          <w:rFonts w:ascii="Times New Roman" w:hAnsi="Times New Roman" w:cs="Times New Roman"/>
          <w:sz w:val="24"/>
          <w:szCs w:val="24"/>
        </w:rPr>
        <w:t xml:space="preserve">.  Inter-barangay basketball tournaments are being held in this hall yearly.  During Division and IRAA meets this hall is being used for cultural presentations for SAYAWIT, a cultural competition during sports activities during Division and IRAA Meets.  It is likewise used as a training center for out of school youth for vocational skills development and for other indoor sports for students of the different colleges and universities in </w:t>
      </w:r>
      <w:proofErr w:type="spellStart"/>
      <w:r w:rsidRPr="00061087">
        <w:rPr>
          <w:rFonts w:ascii="Times New Roman" w:hAnsi="Times New Roman" w:cs="Times New Roman"/>
          <w:sz w:val="24"/>
          <w:szCs w:val="24"/>
        </w:rPr>
        <w:t>Dagupan</w:t>
      </w:r>
      <w:proofErr w:type="spellEnd"/>
      <w:r w:rsidRPr="00061087">
        <w:rPr>
          <w:rFonts w:ascii="Times New Roman" w:hAnsi="Times New Roman" w:cs="Times New Roman"/>
          <w:sz w:val="24"/>
          <w:szCs w:val="24"/>
        </w:rPr>
        <w:t xml:space="preserve"> City.  Other recreational activities like stage plays are held in this hall which has a floor area of 1,728 square meters or a seating capacity of 2</w:t>
      </w:r>
      <w:proofErr w:type="gramStart"/>
      <w:r w:rsidRPr="00061087">
        <w:rPr>
          <w:rFonts w:ascii="Times New Roman" w:hAnsi="Times New Roman" w:cs="Times New Roman"/>
          <w:sz w:val="24"/>
          <w:szCs w:val="24"/>
        </w:rPr>
        <w:t>,00</w:t>
      </w:r>
      <w:proofErr w:type="gramEnd"/>
      <w:r w:rsidRPr="00061087">
        <w:rPr>
          <w:rFonts w:ascii="Times New Roman" w:hAnsi="Times New Roman" w:cs="Times New Roman"/>
          <w:sz w:val="24"/>
          <w:szCs w:val="24"/>
        </w:rPr>
        <w:t xml:space="preserve"> spectators.   To date, the Municipal Government in coordination with the different sectors in the locality has already sponsored two major stage plays namely </w:t>
      </w:r>
      <w:proofErr w:type="spellStart"/>
      <w:r w:rsidRPr="00061087">
        <w:rPr>
          <w:rFonts w:ascii="Times New Roman" w:hAnsi="Times New Roman" w:cs="Times New Roman"/>
          <w:i/>
          <w:sz w:val="24"/>
          <w:szCs w:val="24"/>
        </w:rPr>
        <w:t>Digmaan</w:t>
      </w:r>
      <w:proofErr w:type="spellEnd"/>
      <w:r w:rsidRPr="00061087">
        <w:rPr>
          <w:rFonts w:ascii="Times New Roman" w:hAnsi="Times New Roman" w:cs="Times New Roman"/>
          <w:sz w:val="24"/>
          <w:szCs w:val="24"/>
        </w:rPr>
        <w:t xml:space="preserve"> in 1996 and </w:t>
      </w:r>
      <w:proofErr w:type="spellStart"/>
      <w:r w:rsidRPr="00061087">
        <w:rPr>
          <w:rFonts w:ascii="Times New Roman" w:hAnsi="Times New Roman" w:cs="Times New Roman"/>
          <w:i/>
          <w:sz w:val="24"/>
          <w:szCs w:val="24"/>
        </w:rPr>
        <w:t>Anak-Banua</w:t>
      </w:r>
      <w:proofErr w:type="spellEnd"/>
      <w:r w:rsidRPr="00061087">
        <w:rPr>
          <w:rFonts w:ascii="Times New Roman" w:hAnsi="Times New Roman" w:cs="Times New Roman"/>
          <w:sz w:val="24"/>
          <w:szCs w:val="24"/>
        </w:rPr>
        <w:t xml:space="preserve"> in 2001.</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 public plaza is the venue for community affairs and has an area of 4,386 square meters, one of the widest public plazas in </w:t>
      </w:r>
      <w:proofErr w:type="spellStart"/>
      <w:r w:rsidRPr="00061087">
        <w:rPr>
          <w:rFonts w:ascii="Times New Roman" w:hAnsi="Times New Roman" w:cs="Times New Roman"/>
          <w:sz w:val="24"/>
          <w:szCs w:val="24"/>
        </w:rPr>
        <w:t>Pangasinan</w:t>
      </w:r>
      <w:proofErr w:type="spellEnd"/>
      <w:r w:rsidRPr="00061087">
        <w:rPr>
          <w:rFonts w:ascii="Times New Roman" w:hAnsi="Times New Roman" w:cs="Times New Roman"/>
          <w:sz w:val="24"/>
          <w:szCs w:val="24"/>
        </w:rPr>
        <w:t>.  Its periphery is planted with trees, which attracts students to play and stay.  It provides a suitable area for joggers and brisk walking as well as a leisurely stroll for a wholesome and healthful activity.</w:t>
      </w:r>
    </w:p>
    <w:p w:rsidR="004146EE" w:rsidRPr="00061087" w:rsidRDefault="004146EE" w:rsidP="004146EE">
      <w:pPr>
        <w:spacing w:after="120"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lastRenderedPageBreak/>
        <w:t>The 3</w:t>
      </w:r>
      <w:r w:rsidRPr="00061087">
        <w:rPr>
          <w:rFonts w:ascii="Times New Roman" w:hAnsi="Times New Roman" w:cs="Times New Roman"/>
          <w:sz w:val="24"/>
          <w:szCs w:val="24"/>
          <w:vertAlign w:val="superscript"/>
        </w:rPr>
        <w:t>rd</w:t>
      </w:r>
      <w:r w:rsidRPr="00061087">
        <w:rPr>
          <w:rFonts w:ascii="Times New Roman" w:hAnsi="Times New Roman" w:cs="Times New Roman"/>
          <w:sz w:val="24"/>
          <w:szCs w:val="24"/>
        </w:rPr>
        <w:t xml:space="preserve"> floor of the New Municipal Building is turned into a Multi-purpose Hall. It has a floor area of 618 square meters and can accommodate a 1,000-audience of community programs, activities and socio-cultural shows.</w:t>
      </w:r>
      <w:r w:rsidRPr="00061087">
        <w:rPr>
          <w:rFonts w:ascii="Times New Roman" w:hAnsi="Times New Roman" w:cs="Times New Roman"/>
          <w:sz w:val="24"/>
          <w:szCs w:val="24"/>
        </w:rPr>
        <w:tab/>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There are three (3) Physical Fitness Centers run in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which is located at the </w:t>
      </w:r>
      <w:proofErr w:type="spellStart"/>
      <w:r w:rsidRPr="00061087">
        <w:rPr>
          <w:rFonts w:ascii="Times New Roman" w:hAnsi="Times New Roman" w:cs="Times New Roman"/>
          <w:sz w:val="24"/>
          <w:szCs w:val="24"/>
        </w:rPr>
        <w:t>Jayo</w:t>
      </w:r>
      <w:proofErr w:type="spellEnd"/>
      <w:r w:rsidRPr="00061087">
        <w:rPr>
          <w:rFonts w:ascii="Times New Roman" w:hAnsi="Times New Roman" w:cs="Times New Roman"/>
          <w:sz w:val="24"/>
          <w:szCs w:val="24"/>
        </w:rPr>
        <w:t xml:space="preserve"> Building and along the Public Market.  This however, caters to the higher income physical fitness enthusiasts.  The more affluent members of the community avail of the recreational facilities in </w:t>
      </w:r>
      <w:proofErr w:type="spellStart"/>
      <w:r w:rsidRPr="00061087">
        <w:rPr>
          <w:rFonts w:ascii="Times New Roman" w:hAnsi="Times New Roman" w:cs="Times New Roman"/>
          <w:sz w:val="24"/>
          <w:szCs w:val="24"/>
        </w:rPr>
        <w:t>Dagupan</w:t>
      </w:r>
      <w:proofErr w:type="spellEnd"/>
      <w:r w:rsidRPr="00061087">
        <w:rPr>
          <w:rFonts w:ascii="Times New Roman" w:hAnsi="Times New Roman" w:cs="Times New Roman"/>
          <w:sz w:val="24"/>
          <w:szCs w:val="24"/>
        </w:rPr>
        <w:t xml:space="preserve"> City.</w:t>
      </w:r>
    </w:p>
    <w:p w:rsidR="004146EE" w:rsidRPr="00061087" w:rsidRDefault="004146EE" w:rsidP="004146EE">
      <w:pPr>
        <w:spacing w:line="360" w:lineRule="auto"/>
        <w:ind w:left="630" w:firstLine="720"/>
        <w:jc w:val="both"/>
        <w:rPr>
          <w:rFonts w:ascii="Times New Roman" w:hAnsi="Times New Roman" w:cs="Times New Roman"/>
          <w:sz w:val="24"/>
          <w:szCs w:val="24"/>
        </w:rPr>
      </w:pPr>
      <w:r w:rsidRPr="00061087">
        <w:rPr>
          <w:rFonts w:ascii="Times New Roman" w:hAnsi="Times New Roman" w:cs="Times New Roman"/>
          <w:b/>
          <w:sz w:val="24"/>
          <w:szCs w:val="24"/>
        </w:rPr>
        <w:t>Sports Agencies</w:t>
      </w:r>
    </w:p>
    <w:p w:rsidR="004146EE" w:rsidRPr="00061087" w:rsidRDefault="004146EE" w:rsidP="004146EE">
      <w:pPr>
        <w:spacing w:after="120"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The Department of Education, together with local sports clubs and the local government unit are the agencies that play an active role in sports development in the Municipality of </w:t>
      </w:r>
      <w:proofErr w:type="spellStart"/>
      <w:r w:rsidRPr="00061087">
        <w:rPr>
          <w:rFonts w:ascii="Times New Roman" w:hAnsi="Times New Roman" w:cs="Times New Roman"/>
          <w:sz w:val="24"/>
          <w:szCs w:val="24"/>
        </w:rPr>
        <w:t>Mangaldan</w:t>
      </w:r>
      <w:proofErr w:type="spellEnd"/>
      <w:r w:rsidRPr="00061087">
        <w:rPr>
          <w:rFonts w:ascii="Times New Roman" w:hAnsi="Times New Roman" w:cs="Times New Roman"/>
          <w:sz w:val="24"/>
          <w:szCs w:val="24"/>
        </w:rPr>
        <w:t xml:space="preserve">.  In the elementary, secondary and tertiary levels, specialized athletics are formed every school year to prepare the youths for the yearly varied athletic competitions at varied levels.  </w:t>
      </w:r>
    </w:p>
    <w:p w:rsidR="004146EE" w:rsidRPr="00061087" w:rsidRDefault="004146EE" w:rsidP="004146EE">
      <w:pPr>
        <w:spacing w:line="360" w:lineRule="auto"/>
        <w:ind w:left="1350"/>
        <w:jc w:val="both"/>
        <w:rPr>
          <w:rFonts w:ascii="Times New Roman" w:hAnsi="Times New Roman" w:cs="Times New Roman"/>
          <w:sz w:val="24"/>
          <w:szCs w:val="24"/>
        </w:rPr>
      </w:pPr>
      <w:r w:rsidRPr="00061087">
        <w:rPr>
          <w:rFonts w:ascii="Times New Roman" w:hAnsi="Times New Roman" w:cs="Times New Roman"/>
          <w:sz w:val="24"/>
          <w:szCs w:val="24"/>
        </w:rPr>
        <w:t xml:space="preserve">In the municipal level, barangay teams in basketball are formed in preparation for the inter-barangay basketball tournament held during summer at the MYDC spearheaded by the </w:t>
      </w:r>
      <w:proofErr w:type="spellStart"/>
      <w:r w:rsidRPr="00061087">
        <w:rPr>
          <w:rFonts w:ascii="Times New Roman" w:hAnsi="Times New Roman" w:cs="Times New Roman"/>
          <w:sz w:val="24"/>
          <w:szCs w:val="24"/>
        </w:rPr>
        <w:t>Sangguniang</w:t>
      </w:r>
      <w:proofErr w:type="spellEnd"/>
      <w:r w:rsidRPr="00061087">
        <w:rPr>
          <w:rFonts w:ascii="Times New Roman" w:hAnsi="Times New Roman" w:cs="Times New Roman"/>
          <w:sz w:val="24"/>
          <w:szCs w:val="24"/>
        </w:rPr>
        <w:t xml:space="preserve"> </w:t>
      </w:r>
      <w:proofErr w:type="spellStart"/>
      <w:r w:rsidRPr="00061087">
        <w:rPr>
          <w:rFonts w:ascii="Times New Roman" w:hAnsi="Times New Roman" w:cs="Times New Roman"/>
          <w:sz w:val="24"/>
          <w:szCs w:val="24"/>
        </w:rPr>
        <w:t>Kabataan</w:t>
      </w:r>
      <w:proofErr w:type="spellEnd"/>
      <w:r w:rsidRPr="00061087">
        <w:rPr>
          <w:rFonts w:ascii="Times New Roman" w:hAnsi="Times New Roman" w:cs="Times New Roman"/>
          <w:sz w:val="24"/>
          <w:szCs w:val="24"/>
        </w:rPr>
        <w:t xml:space="preserve"> Federation.</w:t>
      </w:r>
    </w:p>
    <w:p w:rsidR="004146EE" w:rsidRPr="008F3669" w:rsidRDefault="004146EE" w:rsidP="004146EE">
      <w:pPr>
        <w:spacing w:after="0" w:line="240" w:lineRule="auto"/>
        <w:ind w:firstLine="720"/>
        <w:contextualSpacing/>
        <w:jc w:val="both"/>
        <w:rPr>
          <w:rFonts w:ascii="Times New Roman" w:eastAsia="Batang" w:hAnsi="Times New Roman" w:cs="Times New Roman"/>
          <w:b/>
          <w:color w:val="000000" w:themeColor="text1"/>
          <w:sz w:val="24"/>
          <w:szCs w:val="24"/>
        </w:rPr>
      </w:pPr>
    </w:p>
    <w:p w:rsidR="004146EE" w:rsidRPr="008F3669" w:rsidRDefault="004146EE" w:rsidP="004146EE">
      <w:pPr>
        <w:pStyle w:val="ListParagraph"/>
        <w:spacing w:after="0" w:line="240" w:lineRule="auto"/>
        <w:ind w:left="1800" w:firstLine="360"/>
        <w:jc w:val="both"/>
        <w:rPr>
          <w:rFonts w:ascii="Times New Roman" w:eastAsia="Batang" w:hAnsi="Times New Roman" w:cs="Times New Roman"/>
          <w:b/>
          <w:color w:val="000000" w:themeColor="text1"/>
          <w:sz w:val="24"/>
          <w:szCs w:val="24"/>
        </w:rPr>
      </w:pPr>
      <w:r w:rsidRPr="008F3669">
        <w:rPr>
          <w:rFonts w:ascii="Times New Roman" w:eastAsia="Batang" w:hAnsi="Times New Roman" w:cs="Times New Roman"/>
          <w:b/>
          <w:color w:val="000000" w:themeColor="text1"/>
          <w:sz w:val="24"/>
          <w:szCs w:val="24"/>
        </w:rPr>
        <w:t>Table 6</w:t>
      </w:r>
      <w:r>
        <w:rPr>
          <w:rFonts w:ascii="Times New Roman" w:eastAsia="Batang" w:hAnsi="Times New Roman" w:cs="Times New Roman"/>
          <w:b/>
          <w:color w:val="000000" w:themeColor="text1"/>
          <w:sz w:val="24"/>
          <w:szCs w:val="24"/>
        </w:rPr>
        <w:t>5</w:t>
      </w:r>
      <w:r w:rsidRPr="008F3669">
        <w:rPr>
          <w:rFonts w:ascii="Times New Roman" w:eastAsia="Batang" w:hAnsi="Times New Roman" w:cs="Times New Roman"/>
          <w:b/>
          <w:color w:val="000000" w:themeColor="text1"/>
          <w:sz w:val="24"/>
          <w:szCs w:val="24"/>
        </w:rPr>
        <w:t>: Existing Sports and Recreational Facilities by Barangay</w:t>
      </w:r>
    </w:p>
    <w:tbl>
      <w:tblPr>
        <w:tblStyle w:val="TableGrid1"/>
        <w:tblW w:w="10170" w:type="dxa"/>
        <w:tblInd w:w="468" w:type="dxa"/>
        <w:tblLayout w:type="fixed"/>
        <w:tblLook w:val="04A0" w:firstRow="1" w:lastRow="0" w:firstColumn="1" w:lastColumn="0" w:noHBand="0" w:noVBand="1"/>
      </w:tblPr>
      <w:tblGrid>
        <w:gridCol w:w="1620"/>
        <w:gridCol w:w="2430"/>
        <w:gridCol w:w="2610"/>
        <w:gridCol w:w="1170"/>
        <w:gridCol w:w="1260"/>
        <w:gridCol w:w="1080"/>
      </w:tblGrid>
      <w:tr w:rsidR="004146EE" w:rsidRPr="00E52051" w:rsidTr="00D5524D">
        <w:trPr>
          <w:trHeight w:val="20"/>
        </w:trPr>
        <w:tc>
          <w:tcPr>
            <w:tcW w:w="162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Barangay</w:t>
            </w:r>
          </w:p>
        </w:tc>
        <w:tc>
          <w:tcPr>
            <w:tcW w:w="243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Facility</w:t>
            </w:r>
          </w:p>
        </w:tc>
        <w:tc>
          <w:tcPr>
            <w:tcW w:w="261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Location</w:t>
            </w:r>
          </w:p>
        </w:tc>
        <w:tc>
          <w:tcPr>
            <w:tcW w:w="117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Surface</w:t>
            </w:r>
          </w:p>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(Indicate If Concrete/ Earth, Others</w:t>
            </w:r>
          </w:p>
        </w:tc>
        <w:tc>
          <w:tcPr>
            <w:tcW w:w="126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sidRPr="00E52051">
              <w:rPr>
                <w:rFonts w:ascii="Times New Roman" w:hAnsi="Times New Roman" w:cs="Times New Roman"/>
                <w:b/>
                <w:color w:val="000000" w:themeColor="text1"/>
                <w:sz w:val="24"/>
                <w:szCs w:val="24"/>
              </w:rPr>
              <w:t>Land Area (</w:t>
            </w:r>
            <w:proofErr w:type="spellStart"/>
            <w:r>
              <w:rPr>
                <w:rFonts w:ascii="Times New Roman" w:hAnsi="Times New Roman" w:cs="Times New Roman"/>
                <w:b/>
                <w:color w:val="000000" w:themeColor="text1"/>
                <w:sz w:val="24"/>
                <w:szCs w:val="24"/>
              </w:rPr>
              <w:t>sq.m</w:t>
            </w:r>
            <w:proofErr w:type="spellEnd"/>
            <w:r>
              <w:rPr>
                <w:rFonts w:ascii="Times New Roman" w:hAnsi="Times New Roman" w:cs="Times New Roman"/>
                <w:b/>
                <w:color w:val="000000" w:themeColor="text1"/>
                <w:sz w:val="24"/>
                <w:szCs w:val="24"/>
              </w:rPr>
              <w:t>.</w:t>
            </w:r>
            <w:r w:rsidRPr="00E52051">
              <w:rPr>
                <w:rFonts w:ascii="Times New Roman" w:hAnsi="Times New Roman" w:cs="Times New Roman"/>
                <w:b/>
                <w:color w:val="000000" w:themeColor="text1"/>
                <w:sz w:val="24"/>
                <w:szCs w:val="24"/>
              </w:rPr>
              <w:t>)</w:t>
            </w:r>
          </w:p>
        </w:tc>
        <w:tc>
          <w:tcPr>
            <w:tcW w:w="1080" w:type="dxa"/>
            <w:vAlign w:val="center"/>
          </w:tcPr>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Indicate Public o</w:t>
            </w:r>
            <w:r w:rsidRPr="00E52051">
              <w:rPr>
                <w:rFonts w:ascii="Times New Roman" w:hAnsi="Times New Roman" w:cs="Times New Roman"/>
                <w:b/>
                <w:color w:val="000000" w:themeColor="text1"/>
                <w:sz w:val="24"/>
                <w:szCs w:val="24"/>
              </w:rPr>
              <w:t>r Private</w:t>
            </w:r>
          </w:p>
          <w:p w:rsidR="004146EE" w:rsidRPr="00E52051" w:rsidRDefault="004146EE" w:rsidP="00D5524D">
            <w:pPr>
              <w:spacing w:after="0" w:line="240" w:lineRule="auto"/>
              <w:contextualSpacing/>
              <w:jc w:val="center"/>
              <w:rPr>
                <w:rFonts w:ascii="Times New Roman" w:hAnsi="Times New Roman" w:cs="Times New Roman"/>
                <w:b/>
                <w:color w:val="000000" w:themeColor="text1"/>
                <w:sz w:val="24"/>
                <w:szCs w:val="24"/>
              </w:rPr>
            </w:pP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Alitaya</w:t>
            </w:r>
            <w:proofErr w:type="spellEnd"/>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Pr="00E52051" w:rsidRDefault="004146EE" w:rsidP="004146EE">
            <w:pPr>
              <w:pStyle w:val="ListParagraph"/>
              <w:numPr>
                <w:ilvl w:val="0"/>
                <w:numId w:val="4"/>
              </w:numPr>
              <w:spacing w:after="0" w:line="240" w:lineRule="auto"/>
              <w:ind w:left="252" w:hanging="252"/>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Whole court</w:t>
            </w:r>
          </w:p>
          <w:p w:rsidR="004146EE" w:rsidRPr="00E52051" w:rsidRDefault="004146EE" w:rsidP="004146EE">
            <w:pPr>
              <w:pStyle w:val="ListParagraph"/>
              <w:numPr>
                <w:ilvl w:val="0"/>
                <w:numId w:val="4"/>
              </w:numPr>
              <w:spacing w:after="0" w:line="240" w:lineRule="auto"/>
              <w:ind w:left="252" w:hanging="252"/>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Half court</w:t>
            </w:r>
          </w:p>
        </w:tc>
        <w:tc>
          <w:tcPr>
            <w:tcW w:w="261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In front of PB’s House </w:t>
            </w:r>
            <w:proofErr w:type="spellStart"/>
            <w:r w:rsidRPr="00E52051">
              <w:rPr>
                <w:rFonts w:ascii="Times New Roman" w:hAnsi="Times New Roman" w:cs="Times New Roman"/>
                <w:color w:val="000000" w:themeColor="text1"/>
                <w:sz w:val="24"/>
                <w:szCs w:val="24"/>
              </w:rPr>
              <w:t>Montemayor’s</w:t>
            </w:r>
            <w:proofErr w:type="spellEnd"/>
            <w:r w:rsidRPr="00E52051">
              <w:rPr>
                <w:rFonts w:ascii="Times New Roman" w:hAnsi="Times New Roman" w:cs="Times New Roman"/>
                <w:color w:val="000000" w:themeColor="text1"/>
                <w:sz w:val="24"/>
                <w:szCs w:val="24"/>
              </w:rPr>
              <w:t xml:space="preserve"> Near Soriano’s Compound</w:t>
            </w:r>
          </w:p>
        </w:tc>
        <w:tc>
          <w:tcPr>
            <w:tcW w:w="1170" w:type="dxa"/>
          </w:tcPr>
          <w:p w:rsidR="004146EE"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tc>
        <w:tc>
          <w:tcPr>
            <w:tcW w:w="126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tc>
        <w:tc>
          <w:tcPr>
            <w:tcW w:w="1080" w:type="dxa"/>
          </w:tcPr>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Private</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Anolid</w:t>
            </w:r>
            <w:proofErr w:type="spellEnd"/>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Pr="00E52051" w:rsidRDefault="004146EE" w:rsidP="004146EE">
            <w:pPr>
              <w:pStyle w:val="ListParagraph"/>
              <w:numPr>
                <w:ilvl w:val="0"/>
                <w:numId w:val="5"/>
              </w:numPr>
              <w:spacing w:after="0" w:line="240" w:lineRule="auto"/>
              <w:ind w:left="252" w:hanging="252"/>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Whole court</w:t>
            </w:r>
          </w:p>
          <w:p w:rsidR="004146EE" w:rsidRPr="00E52051" w:rsidRDefault="004146EE" w:rsidP="00D5524D">
            <w:pPr>
              <w:pStyle w:val="ListParagraph"/>
              <w:spacing w:after="0" w:line="240" w:lineRule="auto"/>
              <w:ind w:left="342"/>
              <w:rPr>
                <w:rFonts w:ascii="Times New Roman" w:hAnsi="Times New Roman" w:cs="Times New Roman"/>
                <w:color w:val="000000" w:themeColor="text1"/>
                <w:sz w:val="24"/>
                <w:szCs w:val="24"/>
              </w:rPr>
            </w:pPr>
          </w:p>
        </w:tc>
        <w:tc>
          <w:tcPr>
            <w:tcW w:w="261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Anolid</w:t>
            </w:r>
            <w:proofErr w:type="spellEnd"/>
            <w:r w:rsidRPr="00E52051">
              <w:rPr>
                <w:rFonts w:ascii="Times New Roman" w:hAnsi="Times New Roman" w:cs="Times New Roman"/>
                <w:color w:val="000000" w:themeColor="text1"/>
                <w:sz w:val="24"/>
                <w:szCs w:val="24"/>
              </w:rPr>
              <w:t xml:space="preserve"> Elementary School</w:t>
            </w:r>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tc>
        <w:tc>
          <w:tcPr>
            <w:tcW w:w="126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140 sq. m.</w:t>
            </w:r>
          </w:p>
        </w:tc>
        <w:tc>
          <w:tcPr>
            <w:tcW w:w="108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tc>
      </w:tr>
      <w:tr w:rsidR="004146EE" w:rsidRPr="00E52051" w:rsidTr="00D5524D">
        <w:trPr>
          <w:trHeight w:val="838"/>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Banaoang</w:t>
            </w:r>
            <w:proofErr w:type="spellEnd"/>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Pr="00213DDA" w:rsidRDefault="004146EE" w:rsidP="004146EE">
            <w:pPr>
              <w:pStyle w:val="ListParagraph"/>
              <w:numPr>
                <w:ilvl w:val="0"/>
                <w:numId w:val="2"/>
              </w:numPr>
              <w:spacing w:after="0" w:line="240" w:lineRule="auto"/>
              <w:ind w:left="252" w:hanging="270"/>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Whole court</w:t>
            </w:r>
          </w:p>
          <w:p w:rsidR="004146EE" w:rsidRPr="00213DDA" w:rsidRDefault="004146EE" w:rsidP="004146EE">
            <w:pPr>
              <w:pStyle w:val="ListParagraph"/>
              <w:numPr>
                <w:ilvl w:val="0"/>
                <w:numId w:val="5"/>
              </w:numPr>
              <w:spacing w:after="0" w:line="240" w:lineRule="auto"/>
              <w:ind w:left="252" w:hanging="252"/>
              <w:rPr>
                <w:rFonts w:ascii="Times New Roman" w:hAnsi="Times New Roman" w:cs="Times New Roman"/>
                <w:color w:val="000000" w:themeColor="text1"/>
                <w:sz w:val="24"/>
                <w:szCs w:val="24"/>
              </w:rPr>
            </w:pPr>
            <w:r w:rsidRPr="00213DDA">
              <w:rPr>
                <w:rFonts w:ascii="Times New Roman" w:hAnsi="Times New Roman" w:cs="Times New Roman"/>
                <w:color w:val="000000" w:themeColor="text1"/>
                <w:sz w:val="24"/>
                <w:szCs w:val="24"/>
              </w:rPr>
              <w:t>Parks &amp;</w:t>
            </w:r>
            <w:r>
              <w:rPr>
                <w:rFonts w:ascii="Times New Roman" w:hAnsi="Times New Roman" w:cs="Times New Roman"/>
                <w:color w:val="000000" w:themeColor="text1"/>
                <w:sz w:val="24"/>
                <w:szCs w:val="24"/>
              </w:rPr>
              <w:t xml:space="preserve"> </w:t>
            </w:r>
            <w:r w:rsidRPr="00213DDA">
              <w:rPr>
                <w:rFonts w:ascii="Times New Roman" w:hAnsi="Times New Roman" w:cs="Times New Roman"/>
                <w:color w:val="000000" w:themeColor="text1"/>
                <w:sz w:val="24"/>
                <w:szCs w:val="24"/>
              </w:rPr>
              <w:t>playground</w:t>
            </w:r>
          </w:p>
        </w:tc>
        <w:tc>
          <w:tcPr>
            <w:tcW w:w="261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Barangay Hall</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Barangay Hall</w:t>
            </w:r>
          </w:p>
        </w:tc>
        <w:tc>
          <w:tcPr>
            <w:tcW w:w="117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tc>
        <w:tc>
          <w:tcPr>
            <w:tcW w:w="126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tc>
        <w:tc>
          <w:tcPr>
            <w:tcW w:w="108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Bantayan</w:t>
            </w:r>
            <w:proofErr w:type="spellEnd"/>
          </w:p>
        </w:tc>
        <w:tc>
          <w:tcPr>
            <w:tcW w:w="2430" w:type="dxa"/>
          </w:tcPr>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Default="004146EE" w:rsidP="004146EE">
            <w:pPr>
              <w:pStyle w:val="ListParagraph"/>
              <w:numPr>
                <w:ilvl w:val="0"/>
                <w:numId w:val="6"/>
              </w:numPr>
              <w:spacing w:after="0" w:line="240" w:lineRule="auto"/>
              <w:ind w:left="252" w:hanging="25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Whole court</w:t>
            </w:r>
          </w:p>
          <w:p w:rsidR="004146EE" w:rsidRPr="00213DDA" w:rsidRDefault="004146EE" w:rsidP="004146EE">
            <w:pPr>
              <w:pStyle w:val="ListParagraph"/>
              <w:numPr>
                <w:ilvl w:val="0"/>
                <w:numId w:val="6"/>
              </w:numPr>
              <w:spacing w:after="0" w:line="240" w:lineRule="auto"/>
              <w:ind w:left="252" w:hanging="252"/>
              <w:rPr>
                <w:rFonts w:ascii="Times New Roman" w:hAnsi="Times New Roman" w:cs="Times New Roman"/>
                <w:color w:val="000000" w:themeColor="text1"/>
                <w:sz w:val="24"/>
                <w:szCs w:val="24"/>
              </w:rPr>
            </w:pPr>
            <w:r w:rsidRPr="00213DDA">
              <w:rPr>
                <w:rFonts w:ascii="Times New Roman" w:hAnsi="Times New Roman" w:cs="Times New Roman"/>
                <w:color w:val="000000" w:themeColor="text1"/>
                <w:sz w:val="24"/>
                <w:szCs w:val="24"/>
              </w:rPr>
              <w:t>Half court</w:t>
            </w:r>
          </w:p>
        </w:tc>
        <w:tc>
          <w:tcPr>
            <w:tcW w:w="261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Bantayan</w:t>
            </w:r>
            <w:proofErr w:type="spellEnd"/>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Sitio</w:t>
            </w:r>
            <w:proofErr w:type="spellEnd"/>
            <w:r w:rsidRPr="00E52051">
              <w:rPr>
                <w:rFonts w:ascii="Times New Roman" w:hAnsi="Times New Roman" w:cs="Times New Roman"/>
                <w:color w:val="000000" w:themeColor="text1"/>
                <w:sz w:val="24"/>
                <w:szCs w:val="24"/>
              </w:rPr>
              <w:t xml:space="preserve"> </w:t>
            </w:r>
            <w:proofErr w:type="spellStart"/>
            <w:r w:rsidRPr="00E52051">
              <w:rPr>
                <w:rFonts w:ascii="Times New Roman" w:hAnsi="Times New Roman" w:cs="Times New Roman"/>
                <w:color w:val="000000" w:themeColor="text1"/>
                <w:sz w:val="24"/>
                <w:szCs w:val="24"/>
              </w:rPr>
              <w:t>Guesang</w:t>
            </w:r>
            <w:proofErr w:type="spellEnd"/>
          </w:p>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Sitio</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Parian</w:t>
            </w:r>
            <w:proofErr w:type="spellEnd"/>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 </w:t>
            </w:r>
            <w:proofErr w:type="spellStart"/>
            <w:r w:rsidRPr="00E52051">
              <w:rPr>
                <w:rFonts w:ascii="Times New Roman" w:hAnsi="Times New Roman" w:cs="Times New Roman"/>
                <w:color w:val="000000" w:themeColor="text1"/>
                <w:sz w:val="24"/>
                <w:szCs w:val="24"/>
              </w:rPr>
              <w:t>Abalatin</w:t>
            </w:r>
            <w:proofErr w:type="spellEnd"/>
          </w:p>
        </w:tc>
        <w:tc>
          <w:tcPr>
            <w:tcW w:w="117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Earth</w:t>
            </w:r>
          </w:p>
        </w:tc>
        <w:tc>
          <w:tcPr>
            <w:tcW w:w="1260" w:type="dxa"/>
          </w:tcPr>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200 </w:t>
            </w:r>
            <w:proofErr w:type="spellStart"/>
            <w:r w:rsidRPr="00E52051">
              <w:rPr>
                <w:rFonts w:ascii="Times New Roman" w:hAnsi="Times New Roman" w:cs="Times New Roman"/>
                <w:color w:val="000000" w:themeColor="text1"/>
                <w:sz w:val="24"/>
                <w:szCs w:val="24"/>
              </w:rPr>
              <w:t>sq.m</w:t>
            </w:r>
            <w:proofErr w:type="spellEnd"/>
            <w:r w:rsidRPr="00E52051">
              <w:rPr>
                <w:rFonts w:ascii="Times New Roman" w:hAnsi="Times New Roman" w:cs="Times New Roman"/>
                <w:color w:val="000000" w:themeColor="text1"/>
                <w:sz w:val="24"/>
                <w:szCs w:val="24"/>
              </w:rPr>
              <w:t xml:space="preserve"> </w:t>
            </w:r>
            <w:r w:rsidRPr="00E52051">
              <w:rPr>
                <w:rFonts w:ascii="Times New Roman" w:hAnsi="Times New Roman" w:cs="Times New Roman"/>
                <w:color w:val="000000" w:themeColor="text1"/>
                <w:sz w:val="24"/>
                <w:szCs w:val="24"/>
              </w:rPr>
              <w:br/>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75 </w:t>
            </w:r>
            <w:proofErr w:type="spellStart"/>
            <w:r w:rsidRPr="00E52051">
              <w:rPr>
                <w:rFonts w:ascii="Times New Roman" w:hAnsi="Times New Roman" w:cs="Times New Roman"/>
                <w:color w:val="000000" w:themeColor="text1"/>
                <w:sz w:val="24"/>
                <w:szCs w:val="24"/>
              </w:rPr>
              <w:t>sq.m</w:t>
            </w:r>
            <w:proofErr w:type="spellEnd"/>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75 </w:t>
            </w:r>
            <w:proofErr w:type="spellStart"/>
            <w:r w:rsidRPr="00E52051">
              <w:rPr>
                <w:rFonts w:ascii="Times New Roman" w:hAnsi="Times New Roman" w:cs="Times New Roman"/>
                <w:color w:val="000000" w:themeColor="text1"/>
                <w:sz w:val="24"/>
                <w:szCs w:val="24"/>
              </w:rPr>
              <w:t>sq.m</w:t>
            </w:r>
            <w:proofErr w:type="spellEnd"/>
          </w:p>
        </w:tc>
        <w:tc>
          <w:tcPr>
            <w:tcW w:w="1080" w:type="dxa"/>
          </w:tcPr>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r w:rsidRPr="00E52051">
              <w:rPr>
                <w:rFonts w:ascii="Times New Roman" w:hAnsi="Times New Roman" w:cs="Times New Roman"/>
                <w:color w:val="000000" w:themeColor="text1"/>
                <w:sz w:val="24"/>
                <w:szCs w:val="24"/>
              </w:rPr>
              <w:br/>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private</w:t>
            </w:r>
            <w:r w:rsidRPr="00E52051">
              <w:rPr>
                <w:rFonts w:ascii="Times New Roman" w:hAnsi="Times New Roman" w:cs="Times New Roman"/>
                <w:color w:val="000000" w:themeColor="text1"/>
                <w:sz w:val="24"/>
                <w:szCs w:val="24"/>
              </w:rPr>
              <w:br/>
            </w:r>
            <w:proofErr w:type="spellStart"/>
            <w:r w:rsidRPr="00E52051">
              <w:rPr>
                <w:rFonts w:ascii="Times New Roman" w:hAnsi="Times New Roman" w:cs="Times New Roman"/>
                <w:color w:val="000000" w:themeColor="text1"/>
                <w:sz w:val="24"/>
                <w:szCs w:val="24"/>
              </w:rPr>
              <w:t>Private</w:t>
            </w:r>
            <w:proofErr w:type="spellEnd"/>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Bari</w:t>
            </w:r>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Default="004146EE" w:rsidP="004146EE">
            <w:pPr>
              <w:pStyle w:val="ListParagraph"/>
              <w:numPr>
                <w:ilvl w:val="0"/>
                <w:numId w:val="7"/>
              </w:numPr>
              <w:spacing w:after="0" w:line="240" w:lineRule="auto"/>
              <w:ind w:left="252" w:hanging="25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Whole court</w:t>
            </w:r>
          </w:p>
          <w:p w:rsidR="004146EE" w:rsidRPr="00213DDA" w:rsidRDefault="004146EE" w:rsidP="004146EE">
            <w:pPr>
              <w:pStyle w:val="ListParagraph"/>
              <w:numPr>
                <w:ilvl w:val="0"/>
                <w:numId w:val="7"/>
              </w:numPr>
              <w:spacing w:after="0" w:line="240" w:lineRule="auto"/>
              <w:ind w:left="252" w:hanging="252"/>
              <w:rPr>
                <w:rFonts w:ascii="Times New Roman" w:hAnsi="Times New Roman" w:cs="Times New Roman"/>
                <w:color w:val="000000" w:themeColor="text1"/>
                <w:sz w:val="24"/>
                <w:szCs w:val="24"/>
              </w:rPr>
            </w:pPr>
            <w:r w:rsidRPr="00213DDA">
              <w:rPr>
                <w:rFonts w:ascii="Times New Roman" w:hAnsi="Times New Roman" w:cs="Times New Roman"/>
                <w:color w:val="000000" w:themeColor="text1"/>
                <w:sz w:val="24"/>
                <w:szCs w:val="24"/>
              </w:rPr>
              <w:t>Half court</w:t>
            </w:r>
          </w:p>
        </w:tc>
        <w:tc>
          <w:tcPr>
            <w:tcW w:w="2610" w:type="dxa"/>
          </w:tcPr>
          <w:p w:rsidR="004146EE"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Camp Pasong Bari, </w:t>
            </w:r>
            <w:proofErr w:type="spellStart"/>
            <w:r w:rsidRPr="00E52051">
              <w:rPr>
                <w:rFonts w:ascii="Times New Roman" w:hAnsi="Times New Roman" w:cs="Times New Roman"/>
                <w:color w:val="000000" w:themeColor="text1"/>
                <w:sz w:val="24"/>
                <w:szCs w:val="24"/>
              </w:rPr>
              <w:t>Mang</w:t>
            </w:r>
            <w:proofErr w:type="spellEnd"/>
            <w:r w:rsidRPr="00E52051">
              <w:rPr>
                <w:rFonts w:ascii="Times New Roman" w:hAnsi="Times New Roman" w:cs="Times New Roman"/>
                <w:color w:val="000000" w:themeColor="text1"/>
                <w:sz w:val="24"/>
                <w:szCs w:val="24"/>
              </w:rPr>
              <w:t xml:space="preserve">. </w:t>
            </w:r>
            <w:proofErr w:type="spellStart"/>
            <w:r w:rsidRPr="00E52051">
              <w:rPr>
                <w:rFonts w:ascii="Times New Roman" w:hAnsi="Times New Roman" w:cs="Times New Roman"/>
                <w:color w:val="000000" w:themeColor="text1"/>
                <w:sz w:val="24"/>
                <w:szCs w:val="24"/>
              </w:rPr>
              <w:t>Pangasinan</w:t>
            </w:r>
            <w:proofErr w:type="spellEnd"/>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tc>
        <w:tc>
          <w:tcPr>
            <w:tcW w:w="1260" w:type="dxa"/>
          </w:tcPr>
          <w:p w:rsidR="004146EE"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320 square meter</w:t>
            </w:r>
          </w:p>
        </w:tc>
        <w:tc>
          <w:tcPr>
            <w:tcW w:w="1080" w:type="dxa"/>
            <w:vAlign w:val="center"/>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w:t>
            </w:r>
            <w:r w:rsidRPr="00E52051">
              <w:rPr>
                <w:rFonts w:ascii="Times New Roman" w:hAnsi="Times New Roman" w:cs="Times New Roman"/>
                <w:color w:val="000000" w:themeColor="text1"/>
                <w:sz w:val="24"/>
                <w:szCs w:val="24"/>
              </w:rPr>
              <w:t>ublic</w:t>
            </w:r>
          </w:p>
        </w:tc>
      </w:tr>
    </w:tbl>
    <w:p w:rsidR="0053462C" w:rsidRDefault="0053462C">
      <w:pPr>
        <w:rPr>
          <w:rFonts w:ascii="Times New Roman" w:hAnsi="Times New Roman" w:cs="Times New Roman"/>
          <w:i/>
        </w:rPr>
      </w:pPr>
    </w:p>
    <w:p w:rsidR="0053462C" w:rsidRDefault="0053462C">
      <w:pPr>
        <w:rPr>
          <w:rFonts w:ascii="Times New Roman" w:hAnsi="Times New Roman" w:cs="Times New Roman"/>
          <w:i/>
        </w:rPr>
      </w:pPr>
    </w:p>
    <w:p w:rsidR="0053462C" w:rsidRDefault="0053462C">
      <w:pPr>
        <w:rPr>
          <w:rFonts w:ascii="Times New Roman" w:hAnsi="Times New Roman" w:cs="Times New Roman"/>
          <w:i/>
        </w:rPr>
      </w:pPr>
    </w:p>
    <w:p w:rsidR="0053462C" w:rsidRDefault="0053462C" w:rsidP="0053462C">
      <w:pPr>
        <w:ind w:firstLine="720"/>
      </w:pPr>
      <w:r w:rsidRPr="004146EE">
        <w:rPr>
          <w:rFonts w:ascii="Times New Roman" w:hAnsi="Times New Roman" w:cs="Times New Roman"/>
          <w:i/>
        </w:rPr>
        <w:lastRenderedPageBreak/>
        <w:t xml:space="preserve">Continuation of </w:t>
      </w:r>
      <w:r w:rsidRPr="004146EE">
        <w:rPr>
          <w:rFonts w:ascii="Times New Roman" w:eastAsia="Batang" w:hAnsi="Times New Roman" w:cs="Times New Roman"/>
          <w:i/>
          <w:color w:val="000000" w:themeColor="text1"/>
        </w:rPr>
        <w:t>Table 65</w:t>
      </w:r>
      <w:r>
        <w:rPr>
          <w:rFonts w:ascii="Times New Roman" w:eastAsia="Batang" w:hAnsi="Times New Roman" w:cs="Times New Roman"/>
          <w:i/>
          <w:color w:val="000000" w:themeColor="text1"/>
        </w:rPr>
        <w:t xml:space="preserve"> ……</w:t>
      </w:r>
    </w:p>
    <w:tbl>
      <w:tblPr>
        <w:tblStyle w:val="TableGrid1"/>
        <w:tblW w:w="10170" w:type="dxa"/>
        <w:tblInd w:w="468" w:type="dxa"/>
        <w:tblLayout w:type="fixed"/>
        <w:tblLook w:val="04A0" w:firstRow="1" w:lastRow="0" w:firstColumn="1" w:lastColumn="0" w:noHBand="0" w:noVBand="1"/>
      </w:tblPr>
      <w:tblGrid>
        <w:gridCol w:w="1620"/>
        <w:gridCol w:w="2430"/>
        <w:gridCol w:w="2610"/>
        <w:gridCol w:w="1170"/>
        <w:gridCol w:w="1260"/>
        <w:gridCol w:w="1080"/>
      </w:tblGrid>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Bateng</w:t>
            </w:r>
            <w:proofErr w:type="spellEnd"/>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Default="004146EE" w:rsidP="004146EE">
            <w:pPr>
              <w:pStyle w:val="ListParagraph"/>
              <w:numPr>
                <w:ilvl w:val="0"/>
                <w:numId w:val="8"/>
              </w:numPr>
              <w:spacing w:after="0" w:line="240" w:lineRule="auto"/>
              <w:ind w:left="252" w:hanging="2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Whole court</w:t>
            </w:r>
          </w:p>
          <w:p w:rsidR="004146EE" w:rsidRPr="00213DDA" w:rsidRDefault="004146EE" w:rsidP="004146EE">
            <w:pPr>
              <w:pStyle w:val="ListParagraph"/>
              <w:numPr>
                <w:ilvl w:val="0"/>
                <w:numId w:val="8"/>
              </w:numPr>
              <w:spacing w:after="0" w:line="240" w:lineRule="auto"/>
              <w:ind w:left="252" w:hanging="270"/>
              <w:rPr>
                <w:rFonts w:ascii="Times New Roman" w:hAnsi="Times New Roman" w:cs="Times New Roman"/>
                <w:color w:val="000000" w:themeColor="text1"/>
                <w:sz w:val="24"/>
                <w:szCs w:val="24"/>
              </w:rPr>
            </w:pPr>
            <w:r w:rsidRPr="00213DDA">
              <w:rPr>
                <w:rFonts w:ascii="Times New Roman" w:hAnsi="Times New Roman" w:cs="Times New Roman"/>
                <w:color w:val="000000" w:themeColor="text1"/>
                <w:sz w:val="24"/>
                <w:szCs w:val="24"/>
              </w:rPr>
              <w:t>Half court</w:t>
            </w:r>
          </w:p>
        </w:tc>
        <w:tc>
          <w:tcPr>
            <w:tcW w:w="261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Bateng</w:t>
            </w:r>
            <w:proofErr w:type="spellEnd"/>
            <w:r w:rsidRPr="00E52051">
              <w:rPr>
                <w:rFonts w:ascii="Times New Roman" w:hAnsi="Times New Roman" w:cs="Times New Roman"/>
                <w:color w:val="000000" w:themeColor="text1"/>
                <w:sz w:val="24"/>
                <w:szCs w:val="24"/>
              </w:rPr>
              <w:t xml:space="preserve"> East &amp; West</w:t>
            </w:r>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tc>
        <w:tc>
          <w:tcPr>
            <w:tcW w:w="126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roofErr w:type="gramStart"/>
            <w:r w:rsidRPr="00E52051">
              <w:rPr>
                <w:rFonts w:ascii="Times New Roman" w:hAnsi="Times New Roman" w:cs="Times New Roman"/>
                <w:color w:val="000000" w:themeColor="text1"/>
                <w:sz w:val="24"/>
                <w:szCs w:val="24"/>
              </w:rPr>
              <w:t xml:space="preserve">400 </w:t>
            </w:r>
            <w:proofErr w:type="spellStart"/>
            <w:r w:rsidRPr="00E52051">
              <w:rPr>
                <w:rFonts w:ascii="Times New Roman" w:hAnsi="Times New Roman" w:cs="Times New Roman"/>
                <w:color w:val="000000" w:themeColor="text1"/>
                <w:sz w:val="24"/>
                <w:szCs w:val="24"/>
              </w:rPr>
              <w:t>sq.m</w:t>
            </w:r>
            <w:proofErr w:type="spellEnd"/>
            <w:r w:rsidRPr="00E52051">
              <w:rPr>
                <w:rFonts w:ascii="Times New Roman" w:hAnsi="Times New Roman" w:cs="Times New Roman"/>
                <w:color w:val="000000" w:themeColor="text1"/>
                <w:sz w:val="24"/>
                <w:szCs w:val="24"/>
              </w:rPr>
              <w:t>.</w:t>
            </w:r>
            <w:proofErr w:type="gramEnd"/>
          </w:p>
        </w:tc>
        <w:tc>
          <w:tcPr>
            <w:tcW w:w="108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 xml:space="preserve"> Private</w:t>
            </w: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David</w:t>
            </w:r>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Default="004146EE" w:rsidP="004146EE">
            <w:pPr>
              <w:pStyle w:val="ListParagraph"/>
              <w:numPr>
                <w:ilvl w:val="0"/>
                <w:numId w:val="9"/>
              </w:numPr>
              <w:spacing w:after="0" w:line="240" w:lineRule="auto"/>
              <w:ind w:left="3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Whole court</w:t>
            </w:r>
          </w:p>
          <w:p w:rsidR="004146EE" w:rsidRPr="00213DDA" w:rsidRDefault="004146EE" w:rsidP="004146EE">
            <w:pPr>
              <w:pStyle w:val="ListParagraph"/>
              <w:numPr>
                <w:ilvl w:val="0"/>
                <w:numId w:val="9"/>
              </w:numPr>
              <w:spacing w:after="0" w:line="240" w:lineRule="auto"/>
              <w:ind w:left="342"/>
              <w:rPr>
                <w:rFonts w:ascii="Times New Roman" w:hAnsi="Times New Roman" w:cs="Times New Roman"/>
                <w:color w:val="000000" w:themeColor="text1"/>
                <w:sz w:val="24"/>
                <w:szCs w:val="24"/>
              </w:rPr>
            </w:pPr>
            <w:r w:rsidRPr="00213DDA">
              <w:rPr>
                <w:rFonts w:ascii="Times New Roman" w:hAnsi="Times New Roman" w:cs="Times New Roman"/>
                <w:color w:val="000000" w:themeColor="text1"/>
                <w:sz w:val="24"/>
                <w:szCs w:val="24"/>
              </w:rPr>
              <w:t>Half court</w:t>
            </w:r>
          </w:p>
        </w:tc>
        <w:tc>
          <w:tcPr>
            <w:tcW w:w="261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Barangay Auditorium</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Macasieb</w:t>
            </w:r>
            <w:proofErr w:type="spellEnd"/>
            <w:r w:rsidRPr="00E52051">
              <w:rPr>
                <w:rFonts w:ascii="Times New Roman" w:hAnsi="Times New Roman" w:cs="Times New Roman"/>
                <w:color w:val="000000" w:themeColor="text1"/>
                <w:sz w:val="24"/>
                <w:szCs w:val="24"/>
              </w:rPr>
              <w:t xml:space="preserve"> Comp.</w:t>
            </w:r>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tc>
        <w:tc>
          <w:tcPr>
            <w:tcW w:w="126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200 sq. m</w:t>
            </w: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75 sq. m</w:t>
            </w:r>
          </w:p>
        </w:tc>
        <w:tc>
          <w:tcPr>
            <w:tcW w:w="108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Private</w:t>
            </w: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tc>
        <w:tc>
          <w:tcPr>
            <w:tcW w:w="243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Parks &amp;playground</w:t>
            </w:r>
          </w:p>
        </w:tc>
        <w:tc>
          <w:tcPr>
            <w:tcW w:w="261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Barangay Auditorium</w:t>
            </w:r>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Earth</w:t>
            </w:r>
          </w:p>
        </w:tc>
        <w:tc>
          <w:tcPr>
            <w:tcW w:w="126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tc>
        <w:tc>
          <w:tcPr>
            <w:tcW w:w="108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Public</w:t>
            </w:r>
          </w:p>
        </w:tc>
      </w:tr>
      <w:tr w:rsidR="004146EE" w:rsidRPr="00E52051" w:rsidTr="00D5524D">
        <w:trPr>
          <w:trHeight w:val="20"/>
        </w:trPr>
        <w:tc>
          <w:tcPr>
            <w:tcW w:w="162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Embarcadero</w:t>
            </w:r>
          </w:p>
        </w:tc>
        <w:tc>
          <w:tcPr>
            <w:tcW w:w="243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Basketball court</w:t>
            </w:r>
          </w:p>
          <w:p w:rsidR="004146EE" w:rsidRDefault="004146EE" w:rsidP="004146EE">
            <w:pPr>
              <w:pStyle w:val="ListParagraph"/>
              <w:numPr>
                <w:ilvl w:val="0"/>
                <w:numId w:val="10"/>
              </w:numPr>
              <w:spacing w:after="0" w:line="240" w:lineRule="auto"/>
              <w:ind w:left="342" w:hanging="3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Whole court</w:t>
            </w:r>
          </w:p>
          <w:p w:rsidR="004146EE" w:rsidRPr="00D24CEC" w:rsidRDefault="004146EE" w:rsidP="004146EE">
            <w:pPr>
              <w:pStyle w:val="ListParagraph"/>
              <w:numPr>
                <w:ilvl w:val="0"/>
                <w:numId w:val="10"/>
              </w:numPr>
              <w:spacing w:after="0" w:line="240" w:lineRule="auto"/>
              <w:ind w:left="342" w:hanging="342"/>
              <w:rPr>
                <w:rFonts w:ascii="Times New Roman" w:hAnsi="Times New Roman" w:cs="Times New Roman"/>
                <w:color w:val="000000" w:themeColor="text1"/>
                <w:sz w:val="24"/>
                <w:szCs w:val="24"/>
              </w:rPr>
            </w:pPr>
            <w:r w:rsidRPr="00D24CEC">
              <w:rPr>
                <w:rFonts w:ascii="Times New Roman" w:hAnsi="Times New Roman" w:cs="Times New Roman"/>
                <w:color w:val="000000" w:themeColor="text1"/>
                <w:sz w:val="24"/>
                <w:szCs w:val="24"/>
              </w:rPr>
              <w:t>Half court</w:t>
            </w:r>
          </w:p>
        </w:tc>
        <w:tc>
          <w:tcPr>
            <w:tcW w:w="261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Purok</w:t>
            </w:r>
            <w:proofErr w:type="spellEnd"/>
            <w:r w:rsidRPr="00E52051">
              <w:rPr>
                <w:rFonts w:ascii="Times New Roman" w:hAnsi="Times New Roman" w:cs="Times New Roman"/>
                <w:color w:val="000000" w:themeColor="text1"/>
                <w:sz w:val="24"/>
                <w:szCs w:val="24"/>
              </w:rPr>
              <w:t xml:space="preserve"> – V</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roofErr w:type="spellStart"/>
            <w:r w:rsidRPr="00E52051">
              <w:rPr>
                <w:rFonts w:ascii="Times New Roman" w:hAnsi="Times New Roman" w:cs="Times New Roman"/>
                <w:color w:val="000000" w:themeColor="text1"/>
                <w:sz w:val="24"/>
                <w:szCs w:val="24"/>
              </w:rPr>
              <w:t>Purok</w:t>
            </w:r>
            <w:proofErr w:type="spellEnd"/>
            <w:r w:rsidRPr="00E52051">
              <w:rPr>
                <w:rFonts w:ascii="Times New Roman" w:hAnsi="Times New Roman" w:cs="Times New Roman"/>
                <w:color w:val="000000" w:themeColor="text1"/>
                <w:sz w:val="24"/>
                <w:szCs w:val="24"/>
              </w:rPr>
              <w:t xml:space="preserve"> – VII</w:t>
            </w:r>
          </w:p>
        </w:tc>
        <w:tc>
          <w:tcPr>
            <w:tcW w:w="1170" w:type="dxa"/>
          </w:tcPr>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Concrete</w:t>
            </w:r>
          </w:p>
          <w:p w:rsidR="004146EE" w:rsidRPr="00E52051" w:rsidRDefault="004146EE" w:rsidP="00D5524D">
            <w:pPr>
              <w:spacing w:after="0" w:line="240" w:lineRule="auto"/>
              <w:contextualSpacing/>
              <w:jc w:val="center"/>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Earth</w:t>
            </w:r>
          </w:p>
        </w:tc>
        <w:tc>
          <w:tcPr>
            <w:tcW w:w="126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Sub-standard</w:t>
            </w:r>
          </w:p>
        </w:tc>
        <w:tc>
          <w:tcPr>
            <w:tcW w:w="1080" w:type="dxa"/>
          </w:tcPr>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Private</w:t>
            </w:r>
          </w:p>
          <w:p w:rsidR="004146EE" w:rsidRPr="00E52051" w:rsidRDefault="004146EE" w:rsidP="00D5524D">
            <w:pPr>
              <w:spacing w:after="0" w:line="240" w:lineRule="auto"/>
              <w:contextualSpacing/>
              <w:rPr>
                <w:rFonts w:ascii="Times New Roman" w:hAnsi="Times New Roman" w:cs="Times New Roman"/>
                <w:color w:val="000000" w:themeColor="text1"/>
                <w:sz w:val="24"/>
                <w:szCs w:val="24"/>
              </w:rPr>
            </w:pPr>
            <w:r w:rsidRPr="00E52051">
              <w:rPr>
                <w:rFonts w:ascii="Times New Roman" w:hAnsi="Times New Roman" w:cs="Times New Roman"/>
                <w:color w:val="000000" w:themeColor="text1"/>
                <w:sz w:val="24"/>
                <w:szCs w:val="24"/>
              </w:rPr>
              <w:t>Private</w:t>
            </w:r>
          </w:p>
        </w:tc>
      </w:tr>
    </w:tbl>
    <w:p w:rsidR="004146EE" w:rsidRPr="00E31315" w:rsidRDefault="004146EE" w:rsidP="004146EE">
      <w:pPr>
        <w:spacing w:after="0" w:line="240" w:lineRule="auto"/>
        <w:ind w:firstLine="720"/>
        <w:jc w:val="both"/>
        <w:rPr>
          <w:rFonts w:ascii="Times New Roman" w:eastAsia="Batang" w:hAnsi="Times New Roman" w:cs="Times New Roman"/>
          <w:i/>
          <w:color w:val="000000" w:themeColor="text1"/>
          <w:sz w:val="20"/>
          <w:szCs w:val="20"/>
        </w:rPr>
      </w:pPr>
      <w:r w:rsidRPr="00E31315">
        <w:rPr>
          <w:rFonts w:ascii="Times New Roman" w:eastAsia="Batang" w:hAnsi="Times New Roman" w:cs="Times New Roman"/>
          <w:i/>
          <w:color w:val="000000" w:themeColor="text1"/>
          <w:sz w:val="20"/>
          <w:szCs w:val="20"/>
        </w:rPr>
        <w:t>Source: MPDO</w:t>
      </w:r>
    </w:p>
    <w:p w:rsidR="004146EE" w:rsidRDefault="004146EE" w:rsidP="004146EE">
      <w:pPr>
        <w:spacing w:after="0" w:line="240" w:lineRule="auto"/>
        <w:contextualSpacing/>
        <w:jc w:val="both"/>
        <w:rPr>
          <w:rFonts w:ascii="Times New Roman" w:eastAsia="Batang" w:hAnsi="Times New Roman" w:cs="Times New Roman"/>
          <w:b/>
          <w:color w:val="000000" w:themeColor="text1"/>
          <w:sz w:val="24"/>
          <w:szCs w:val="24"/>
        </w:rPr>
      </w:pPr>
    </w:p>
    <w:p w:rsidR="004146EE" w:rsidRDefault="004146EE" w:rsidP="004146EE">
      <w:pPr>
        <w:spacing w:after="0" w:line="240" w:lineRule="auto"/>
        <w:contextualSpacing/>
        <w:jc w:val="both"/>
        <w:rPr>
          <w:rFonts w:ascii="Times New Roman" w:eastAsia="Batang" w:hAnsi="Times New Roman" w:cs="Times New Roman"/>
          <w:b/>
          <w:color w:val="000000" w:themeColor="text1"/>
          <w:sz w:val="24"/>
          <w:szCs w:val="24"/>
        </w:rPr>
      </w:pPr>
    </w:p>
    <w:p w:rsidR="004146EE" w:rsidRPr="00D8778C" w:rsidRDefault="004146EE" w:rsidP="004146EE">
      <w:pPr>
        <w:spacing w:after="0" w:line="240" w:lineRule="auto"/>
        <w:ind w:left="720" w:firstLine="720"/>
        <w:contextualSpacing/>
        <w:jc w:val="both"/>
        <w:rPr>
          <w:rFonts w:ascii="Times New Roman" w:eastAsia="Batang" w:hAnsi="Times New Roman" w:cs="Times New Roman"/>
          <w:b/>
          <w:i/>
          <w:color w:val="000000" w:themeColor="text1"/>
          <w:sz w:val="24"/>
          <w:szCs w:val="24"/>
        </w:rPr>
      </w:pPr>
      <w:r w:rsidRPr="00D8778C">
        <w:rPr>
          <w:rFonts w:ascii="Times New Roman" w:eastAsia="Batang" w:hAnsi="Times New Roman" w:cs="Times New Roman"/>
          <w:b/>
          <w:i/>
          <w:color w:val="000000" w:themeColor="text1"/>
          <w:sz w:val="24"/>
          <w:szCs w:val="24"/>
        </w:rPr>
        <w:t>Current and Projected Land Requirement</w:t>
      </w:r>
    </w:p>
    <w:p w:rsidR="004146EE" w:rsidRDefault="004146EE" w:rsidP="004146EE">
      <w:pPr>
        <w:spacing w:after="0" w:line="240" w:lineRule="auto"/>
        <w:contextualSpacing/>
        <w:jc w:val="both"/>
        <w:rPr>
          <w:rFonts w:ascii="Times New Roman" w:eastAsia="Batang" w:hAnsi="Times New Roman" w:cs="Times New Roman"/>
          <w:color w:val="000000" w:themeColor="text1"/>
          <w:sz w:val="24"/>
          <w:szCs w:val="24"/>
        </w:rPr>
      </w:pPr>
    </w:p>
    <w:p w:rsidR="004146EE" w:rsidRDefault="004146EE" w:rsidP="004146EE">
      <w:pPr>
        <w:spacing w:after="0" w:line="360" w:lineRule="auto"/>
        <w:ind w:left="1440"/>
        <w:contextualSpacing/>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The Municipality of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has an exi</w:t>
      </w:r>
      <w:r w:rsidR="00950D18">
        <w:rPr>
          <w:rFonts w:ascii="Times New Roman" w:eastAsia="Batang" w:hAnsi="Times New Roman" w:cs="Times New Roman"/>
          <w:color w:val="000000" w:themeColor="text1"/>
          <w:sz w:val="24"/>
          <w:szCs w:val="24"/>
        </w:rPr>
        <w:t>sting recreational space of 2.52</w:t>
      </w:r>
      <w:r>
        <w:rPr>
          <w:rFonts w:ascii="Times New Roman" w:eastAsia="Batang" w:hAnsi="Times New Roman" w:cs="Times New Roman"/>
          <w:color w:val="000000" w:themeColor="text1"/>
          <w:sz w:val="24"/>
          <w:szCs w:val="24"/>
        </w:rPr>
        <w:t xml:space="preserve"> hectares comparing to </w:t>
      </w:r>
      <w:r w:rsidRPr="00E52051">
        <w:rPr>
          <w:rFonts w:ascii="Times New Roman" w:eastAsia="Batang" w:hAnsi="Times New Roman" w:cs="Times New Roman"/>
          <w:color w:val="000000" w:themeColor="text1"/>
          <w:sz w:val="24"/>
          <w:szCs w:val="24"/>
        </w:rPr>
        <w:t>the standard of 500 square meters</w:t>
      </w:r>
      <w:r>
        <w:rPr>
          <w:rFonts w:ascii="Times New Roman" w:eastAsia="Batang" w:hAnsi="Times New Roman" w:cs="Times New Roman"/>
          <w:color w:val="000000" w:themeColor="text1"/>
          <w:sz w:val="24"/>
          <w:szCs w:val="24"/>
        </w:rPr>
        <w:t xml:space="preserve"> or 0.05 hectare</w:t>
      </w:r>
      <w:r w:rsidRPr="00E52051">
        <w:rPr>
          <w:rFonts w:ascii="Times New Roman" w:eastAsia="Batang" w:hAnsi="Times New Roman" w:cs="Times New Roman"/>
          <w:color w:val="000000" w:themeColor="text1"/>
          <w:sz w:val="24"/>
          <w:szCs w:val="24"/>
        </w:rPr>
        <w:t xml:space="preserve"> per 1000 population,</w:t>
      </w:r>
      <w:r>
        <w:rPr>
          <w:rFonts w:ascii="Times New Roman" w:eastAsia="Batang" w:hAnsi="Times New Roman" w:cs="Times New Roman"/>
          <w:color w:val="000000" w:themeColor="text1"/>
          <w:sz w:val="24"/>
          <w:szCs w:val="24"/>
        </w:rPr>
        <w:t xml:space="preserve"> </w:t>
      </w:r>
      <w:proofErr w:type="spellStart"/>
      <w:r w:rsidRPr="00E52051">
        <w:rPr>
          <w:rFonts w:ascii="Times New Roman" w:eastAsia="Batang" w:hAnsi="Times New Roman" w:cs="Times New Roman"/>
          <w:color w:val="000000" w:themeColor="text1"/>
          <w:sz w:val="24"/>
          <w:szCs w:val="24"/>
        </w:rPr>
        <w:t>Mangaldan</w:t>
      </w:r>
      <w:proofErr w:type="spellEnd"/>
      <w:r w:rsidRPr="00E52051">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with 124,771</w:t>
      </w:r>
      <w:r w:rsidRPr="00E52051">
        <w:rPr>
          <w:rFonts w:ascii="Times New Roman" w:eastAsia="Batang" w:hAnsi="Times New Roman" w:cs="Times New Roman"/>
          <w:color w:val="000000" w:themeColor="text1"/>
          <w:sz w:val="24"/>
          <w:szCs w:val="24"/>
        </w:rPr>
        <w:t xml:space="preserve"> projected number of population</w:t>
      </w:r>
      <w:r>
        <w:rPr>
          <w:rFonts w:ascii="Times New Roman" w:eastAsia="Batang" w:hAnsi="Times New Roman" w:cs="Times New Roman"/>
          <w:color w:val="000000" w:themeColor="text1"/>
          <w:sz w:val="24"/>
          <w:szCs w:val="24"/>
        </w:rPr>
        <w:t xml:space="preserve"> </w:t>
      </w:r>
      <w:r w:rsidRPr="00E52051">
        <w:rPr>
          <w:rFonts w:ascii="Times New Roman" w:eastAsia="Batang" w:hAnsi="Times New Roman" w:cs="Times New Roman"/>
          <w:color w:val="000000" w:themeColor="text1"/>
          <w:sz w:val="24"/>
          <w:szCs w:val="24"/>
        </w:rPr>
        <w:t xml:space="preserve">by year 2026, the municipality </w:t>
      </w:r>
      <w:r>
        <w:rPr>
          <w:rFonts w:ascii="Times New Roman" w:eastAsia="Batang" w:hAnsi="Times New Roman" w:cs="Times New Roman"/>
          <w:color w:val="000000" w:themeColor="text1"/>
          <w:sz w:val="24"/>
          <w:szCs w:val="24"/>
        </w:rPr>
        <w:t xml:space="preserve">needs an additional </w:t>
      </w:r>
      <w:r w:rsidR="00950D18">
        <w:rPr>
          <w:rFonts w:ascii="Times New Roman" w:eastAsia="Batang" w:hAnsi="Times New Roman" w:cs="Times New Roman"/>
          <w:color w:val="000000" w:themeColor="text1"/>
          <w:sz w:val="24"/>
          <w:szCs w:val="24"/>
        </w:rPr>
        <w:t>1.33</w:t>
      </w:r>
      <w:r>
        <w:rPr>
          <w:rFonts w:ascii="Times New Roman" w:eastAsia="Batang" w:hAnsi="Times New Roman" w:cs="Times New Roman"/>
          <w:color w:val="000000" w:themeColor="text1"/>
          <w:sz w:val="24"/>
          <w:szCs w:val="24"/>
        </w:rPr>
        <w:t xml:space="preserve"> hectares.</w:t>
      </w:r>
      <w:r w:rsidRPr="00E52051">
        <w:rPr>
          <w:rFonts w:ascii="Times New Roman" w:eastAsia="Batang" w:hAnsi="Times New Roman" w:cs="Times New Roman"/>
          <w:color w:val="000000" w:themeColor="text1"/>
          <w:sz w:val="24"/>
          <w:szCs w:val="24"/>
        </w:rPr>
        <w:t xml:space="preserve"> </w:t>
      </w:r>
    </w:p>
    <w:p w:rsidR="004146EE" w:rsidRPr="00E52051" w:rsidRDefault="004146EE" w:rsidP="004146EE">
      <w:pPr>
        <w:spacing w:after="0" w:line="360" w:lineRule="auto"/>
        <w:ind w:left="1440"/>
        <w:contextualSpacing/>
        <w:jc w:val="both"/>
        <w:rPr>
          <w:rFonts w:ascii="Times New Roman" w:eastAsia="Batang" w:hAnsi="Times New Roman" w:cs="Times New Roman"/>
          <w:color w:val="000000" w:themeColor="text1"/>
          <w:sz w:val="24"/>
          <w:szCs w:val="24"/>
        </w:rPr>
      </w:pPr>
      <w:bookmarkStart w:id="0" w:name="_GoBack"/>
      <w:bookmarkEnd w:id="0"/>
    </w:p>
    <w:p w:rsidR="004146EE" w:rsidRPr="00D24CEC" w:rsidRDefault="004146EE" w:rsidP="004146EE">
      <w:pPr>
        <w:spacing w:after="0" w:line="240" w:lineRule="auto"/>
        <w:ind w:firstLine="720"/>
        <w:contextualSpacing/>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r w:rsidRPr="00D24CEC">
        <w:rPr>
          <w:rFonts w:ascii="Times New Roman" w:eastAsia="Batang" w:hAnsi="Times New Roman" w:cs="Times New Roman"/>
          <w:b/>
          <w:color w:val="000000" w:themeColor="text1"/>
          <w:sz w:val="24"/>
          <w:szCs w:val="24"/>
        </w:rPr>
        <w:t>Table 6</w:t>
      </w:r>
      <w:r>
        <w:rPr>
          <w:rFonts w:ascii="Times New Roman" w:eastAsia="Batang" w:hAnsi="Times New Roman" w:cs="Times New Roman"/>
          <w:b/>
          <w:color w:val="000000" w:themeColor="text1"/>
          <w:sz w:val="24"/>
          <w:szCs w:val="24"/>
        </w:rPr>
        <w:t>6</w:t>
      </w:r>
      <w:r w:rsidRPr="00D24CEC">
        <w:rPr>
          <w:rFonts w:ascii="Times New Roman" w:eastAsia="Batang" w:hAnsi="Times New Roman" w:cs="Times New Roman"/>
          <w:b/>
          <w:color w:val="000000" w:themeColor="text1"/>
          <w:sz w:val="24"/>
          <w:szCs w:val="24"/>
        </w:rPr>
        <w:t>: Technical Findings</w:t>
      </w:r>
    </w:p>
    <w:tbl>
      <w:tblPr>
        <w:tblStyle w:val="TableGrid"/>
        <w:tblW w:w="9240" w:type="dxa"/>
        <w:tblInd w:w="902" w:type="dxa"/>
        <w:tblLook w:val="04A0" w:firstRow="1" w:lastRow="0" w:firstColumn="1" w:lastColumn="0" w:noHBand="0" w:noVBand="1"/>
      </w:tblPr>
      <w:tblGrid>
        <w:gridCol w:w="3616"/>
        <w:gridCol w:w="2970"/>
        <w:gridCol w:w="2654"/>
      </w:tblGrid>
      <w:tr w:rsidR="004146EE" w:rsidRPr="00E52051" w:rsidTr="00D5524D">
        <w:tc>
          <w:tcPr>
            <w:tcW w:w="3616" w:type="dxa"/>
          </w:tcPr>
          <w:p w:rsidR="004146EE" w:rsidRPr="00E52051" w:rsidRDefault="004146EE" w:rsidP="00D5524D">
            <w:pPr>
              <w:spacing w:after="0" w:line="240" w:lineRule="auto"/>
              <w:contextualSpacing/>
              <w:jc w:val="center"/>
              <w:rPr>
                <w:rFonts w:ascii="Times New Roman" w:eastAsia="Batang" w:hAnsi="Times New Roman" w:cs="Times New Roman"/>
                <w:b/>
                <w:color w:val="000000" w:themeColor="text1"/>
                <w:sz w:val="24"/>
                <w:szCs w:val="24"/>
              </w:rPr>
            </w:pPr>
            <w:r w:rsidRPr="00E52051">
              <w:rPr>
                <w:rFonts w:ascii="Times New Roman" w:eastAsia="Batang" w:hAnsi="Times New Roman" w:cs="Times New Roman"/>
                <w:b/>
                <w:color w:val="000000" w:themeColor="text1"/>
                <w:sz w:val="24"/>
                <w:szCs w:val="24"/>
              </w:rPr>
              <w:t>Problems/ Issues/ Concerns</w:t>
            </w:r>
          </w:p>
        </w:tc>
        <w:tc>
          <w:tcPr>
            <w:tcW w:w="2970" w:type="dxa"/>
          </w:tcPr>
          <w:p w:rsidR="004146EE" w:rsidRPr="00E52051" w:rsidRDefault="004146EE" w:rsidP="00D5524D">
            <w:pPr>
              <w:spacing w:after="0" w:line="240" w:lineRule="auto"/>
              <w:contextualSpacing/>
              <w:jc w:val="center"/>
              <w:rPr>
                <w:rFonts w:ascii="Times New Roman" w:eastAsia="Batang" w:hAnsi="Times New Roman" w:cs="Times New Roman"/>
                <w:b/>
                <w:color w:val="000000" w:themeColor="text1"/>
                <w:sz w:val="24"/>
                <w:szCs w:val="24"/>
              </w:rPr>
            </w:pPr>
            <w:r w:rsidRPr="00E52051">
              <w:rPr>
                <w:rFonts w:ascii="Times New Roman" w:eastAsia="Batang" w:hAnsi="Times New Roman" w:cs="Times New Roman"/>
                <w:b/>
                <w:color w:val="000000" w:themeColor="text1"/>
                <w:sz w:val="24"/>
                <w:szCs w:val="24"/>
              </w:rPr>
              <w:t>Recommendations</w:t>
            </w:r>
          </w:p>
        </w:tc>
        <w:tc>
          <w:tcPr>
            <w:tcW w:w="2654" w:type="dxa"/>
          </w:tcPr>
          <w:p w:rsidR="004146EE" w:rsidRPr="00E52051" w:rsidRDefault="004146EE" w:rsidP="00D5524D">
            <w:pPr>
              <w:spacing w:after="0" w:line="240" w:lineRule="auto"/>
              <w:contextualSpacing/>
              <w:jc w:val="center"/>
              <w:rPr>
                <w:rFonts w:ascii="Times New Roman" w:eastAsia="Batang" w:hAnsi="Times New Roman" w:cs="Times New Roman"/>
                <w:b/>
                <w:color w:val="000000" w:themeColor="text1"/>
                <w:sz w:val="24"/>
                <w:szCs w:val="24"/>
              </w:rPr>
            </w:pPr>
            <w:r w:rsidRPr="00E52051">
              <w:rPr>
                <w:rFonts w:ascii="Times New Roman" w:eastAsia="Batang" w:hAnsi="Times New Roman" w:cs="Times New Roman"/>
                <w:b/>
                <w:color w:val="000000" w:themeColor="text1"/>
                <w:sz w:val="24"/>
                <w:szCs w:val="24"/>
              </w:rPr>
              <w:t>Policies/ Strategies</w:t>
            </w:r>
          </w:p>
        </w:tc>
      </w:tr>
      <w:tr w:rsidR="004146EE" w:rsidRPr="00E52051" w:rsidTr="00D5524D">
        <w:tc>
          <w:tcPr>
            <w:tcW w:w="9240" w:type="dxa"/>
            <w:gridSpan w:val="3"/>
            <w:vAlign w:val="center"/>
          </w:tcPr>
          <w:p w:rsidR="004146EE" w:rsidRPr="00E52051" w:rsidRDefault="004146EE" w:rsidP="00D5524D">
            <w:pPr>
              <w:spacing w:after="0" w:line="240" w:lineRule="auto"/>
              <w:contextualSpacing/>
              <w:rPr>
                <w:rFonts w:ascii="Times New Roman" w:eastAsia="Batang" w:hAnsi="Times New Roman" w:cs="Times New Roman"/>
                <w:b/>
                <w:color w:val="000000" w:themeColor="text1"/>
                <w:sz w:val="24"/>
                <w:szCs w:val="24"/>
              </w:rPr>
            </w:pPr>
            <w:r w:rsidRPr="00E52051">
              <w:rPr>
                <w:rFonts w:ascii="Times New Roman" w:eastAsia="Batang" w:hAnsi="Times New Roman" w:cs="Times New Roman"/>
                <w:b/>
                <w:color w:val="000000" w:themeColor="text1"/>
                <w:sz w:val="24"/>
                <w:szCs w:val="24"/>
              </w:rPr>
              <w:t>Barangay Level</w:t>
            </w: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Lack of sports facilities</w:t>
            </w:r>
          </w:p>
        </w:tc>
        <w:tc>
          <w:tcPr>
            <w:tcW w:w="2970" w:type="dxa"/>
            <w:vMerge w:val="restart"/>
          </w:tcPr>
          <w:p w:rsidR="004146EE" w:rsidRPr="00DB68D5" w:rsidRDefault="004146EE" w:rsidP="004146EE">
            <w:pPr>
              <w:pStyle w:val="ListParagraph"/>
              <w:numPr>
                <w:ilvl w:val="0"/>
                <w:numId w:val="11"/>
              </w:numPr>
              <w:spacing w:after="0" w:line="240" w:lineRule="auto"/>
              <w:ind w:left="162" w:hanging="16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Provision/ establishment of required sports/ recreating facilities</w:t>
            </w:r>
          </w:p>
        </w:tc>
        <w:tc>
          <w:tcPr>
            <w:tcW w:w="2654" w:type="dxa"/>
            <w:vMerge w:val="restart"/>
          </w:tcPr>
          <w:p w:rsidR="004146EE" w:rsidRPr="00DB68D5" w:rsidRDefault="004146EE" w:rsidP="004146EE">
            <w:pPr>
              <w:pStyle w:val="ListParagraph"/>
              <w:numPr>
                <w:ilvl w:val="0"/>
                <w:numId w:val="11"/>
              </w:numPr>
              <w:spacing w:after="0" w:line="240" w:lineRule="auto"/>
              <w:ind w:left="162" w:hanging="16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Lobby for fund allocation for the various sports/ recreational facilities</w:t>
            </w: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Availability/ accessibility of sports/ recreational in  barangays</w:t>
            </w:r>
          </w:p>
        </w:tc>
        <w:tc>
          <w:tcPr>
            <w:tcW w:w="2970" w:type="dxa"/>
            <w:vMerge/>
          </w:tcPr>
          <w:p w:rsidR="004146EE" w:rsidRPr="00E52051" w:rsidRDefault="004146EE" w:rsidP="00D5524D">
            <w:pPr>
              <w:spacing w:after="0" w:line="240" w:lineRule="auto"/>
              <w:contextualSpacing/>
              <w:rPr>
                <w:rFonts w:ascii="Times New Roman" w:eastAsia="Batang" w:hAnsi="Times New Roman" w:cs="Times New Roman"/>
                <w:color w:val="000000" w:themeColor="text1"/>
                <w:sz w:val="24"/>
                <w:szCs w:val="24"/>
              </w:rPr>
            </w:pPr>
          </w:p>
        </w:tc>
        <w:tc>
          <w:tcPr>
            <w:tcW w:w="2654" w:type="dxa"/>
            <w:vMerge/>
          </w:tcPr>
          <w:p w:rsidR="004146EE" w:rsidRPr="00E52051" w:rsidRDefault="004146EE" w:rsidP="00D5524D">
            <w:pPr>
              <w:spacing w:after="0" w:line="240" w:lineRule="auto"/>
              <w:contextualSpacing/>
              <w:rPr>
                <w:rFonts w:ascii="Times New Roman" w:eastAsia="Batang" w:hAnsi="Times New Roman" w:cs="Times New Roman"/>
                <w:color w:val="000000" w:themeColor="text1"/>
                <w:sz w:val="24"/>
                <w:szCs w:val="24"/>
              </w:rPr>
            </w:pP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51"/>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Lack of maintenance of sports facilities</w:t>
            </w:r>
          </w:p>
        </w:tc>
        <w:tc>
          <w:tcPr>
            <w:tcW w:w="2970" w:type="dxa"/>
            <w:vMerge/>
          </w:tcPr>
          <w:p w:rsidR="004146EE" w:rsidRPr="00E52051" w:rsidRDefault="004146EE" w:rsidP="00D5524D">
            <w:pPr>
              <w:spacing w:after="0" w:line="240" w:lineRule="auto"/>
              <w:contextualSpacing/>
              <w:rPr>
                <w:rFonts w:ascii="Times New Roman" w:eastAsia="Batang" w:hAnsi="Times New Roman" w:cs="Times New Roman"/>
                <w:color w:val="000000" w:themeColor="text1"/>
                <w:sz w:val="24"/>
                <w:szCs w:val="24"/>
              </w:rPr>
            </w:pPr>
          </w:p>
        </w:tc>
        <w:tc>
          <w:tcPr>
            <w:tcW w:w="2654" w:type="dxa"/>
            <w:vMerge/>
          </w:tcPr>
          <w:p w:rsidR="004146EE" w:rsidRPr="00E52051" w:rsidRDefault="004146EE" w:rsidP="00D5524D">
            <w:pPr>
              <w:spacing w:after="0" w:line="240" w:lineRule="auto"/>
              <w:contextualSpacing/>
              <w:rPr>
                <w:rFonts w:ascii="Times New Roman" w:eastAsia="Batang" w:hAnsi="Times New Roman" w:cs="Times New Roman"/>
                <w:color w:val="000000" w:themeColor="text1"/>
                <w:sz w:val="24"/>
                <w:szCs w:val="24"/>
              </w:rPr>
            </w:pP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Lack of designated focal persons of sports/ recreation facilities of every barangay</w:t>
            </w:r>
          </w:p>
        </w:tc>
        <w:tc>
          <w:tcPr>
            <w:tcW w:w="2970" w:type="dxa"/>
          </w:tcPr>
          <w:p w:rsidR="004146EE" w:rsidRPr="00DB68D5" w:rsidRDefault="004146EE" w:rsidP="004146EE">
            <w:pPr>
              <w:pStyle w:val="ListParagraph"/>
              <w:numPr>
                <w:ilvl w:val="0"/>
                <w:numId w:val="12"/>
              </w:numPr>
              <w:spacing w:after="0" w:line="240" w:lineRule="auto"/>
              <w:ind w:left="162" w:right="162" w:hanging="16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Proper coordination in the Municipal Sports council</w:t>
            </w:r>
          </w:p>
        </w:tc>
        <w:tc>
          <w:tcPr>
            <w:tcW w:w="2654" w:type="dxa"/>
          </w:tcPr>
          <w:p w:rsidR="004146EE" w:rsidRPr="00E52051" w:rsidRDefault="00D50DA8" w:rsidP="00D5524D">
            <w:pPr>
              <w:spacing w:after="0" w:line="240" w:lineRule="auto"/>
              <w:contextualSpacing/>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w:t>
            </w:r>
            <w:r w:rsidRPr="00DB68D5">
              <w:rPr>
                <w:rFonts w:ascii="Times New Roman" w:eastAsia="Batang" w:hAnsi="Times New Roman" w:cs="Times New Roman"/>
                <w:color w:val="000000" w:themeColor="text1"/>
                <w:sz w:val="24"/>
                <w:szCs w:val="24"/>
              </w:rPr>
              <w:t>oordination in the Municipal Sports council</w:t>
            </w:r>
          </w:p>
        </w:tc>
      </w:tr>
      <w:tr w:rsidR="004146EE" w:rsidRPr="00E52051" w:rsidTr="00D5524D">
        <w:tc>
          <w:tcPr>
            <w:tcW w:w="9240" w:type="dxa"/>
            <w:gridSpan w:val="3"/>
          </w:tcPr>
          <w:p w:rsidR="004146EE" w:rsidRPr="00E52051" w:rsidRDefault="004146EE" w:rsidP="00D5524D">
            <w:pPr>
              <w:spacing w:after="0" w:line="240" w:lineRule="auto"/>
              <w:contextualSpacing/>
              <w:rPr>
                <w:rFonts w:ascii="Times New Roman" w:eastAsia="Batang" w:hAnsi="Times New Roman" w:cs="Times New Roman"/>
                <w:color w:val="000000" w:themeColor="text1"/>
                <w:sz w:val="24"/>
                <w:szCs w:val="24"/>
              </w:rPr>
            </w:pPr>
            <w:r w:rsidRPr="00DC4EEF">
              <w:rPr>
                <w:rFonts w:ascii="Times New Roman" w:eastAsia="Batang" w:hAnsi="Times New Roman" w:cs="Times New Roman"/>
                <w:b/>
                <w:color w:val="000000" w:themeColor="text1"/>
                <w:sz w:val="24"/>
                <w:szCs w:val="24"/>
              </w:rPr>
              <w:t>Municipal Level</w:t>
            </w: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Lack of sports/ recreational facilities of every event like basketball court, gymnasiums, etc. (For hosting Provincial/ Regional/ National events)</w:t>
            </w:r>
          </w:p>
        </w:tc>
        <w:tc>
          <w:tcPr>
            <w:tcW w:w="2970" w:type="dxa"/>
          </w:tcPr>
          <w:p w:rsidR="004146EE" w:rsidRPr="00E52051" w:rsidRDefault="004146EE" w:rsidP="004146EE">
            <w:pPr>
              <w:pStyle w:val="ListParagraph"/>
              <w:numPr>
                <w:ilvl w:val="0"/>
                <w:numId w:val="1"/>
              </w:numPr>
              <w:spacing w:after="0" w:line="240" w:lineRule="auto"/>
              <w:ind w:left="252"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Establishment of lacking sports/ recreation facilities</w:t>
            </w:r>
          </w:p>
          <w:p w:rsidR="004146EE" w:rsidRPr="00E52051" w:rsidRDefault="004146EE" w:rsidP="004146EE">
            <w:pPr>
              <w:pStyle w:val="ListParagraph"/>
              <w:numPr>
                <w:ilvl w:val="0"/>
                <w:numId w:val="1"/>
              </w:numPr>
              <w:spacing w:after="0" w:line="240" w:lineRule="auto"/>
              <w:ind w:left="252"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Development of sport/ recreation facilities</w:t>
            </w:r>
          </w:p>
        </w:tc>
        <w:tc>
          <w:tcPr>
            <w:tcW w:w="2654" w:type="dxa"/>
          </w:tcPr>
          <w:p w:rsidR="004146EE" w:rsidRPr="00DB68D5" w:rsidRDefault="004146EE" w:rsidP="004146EE">
            <w:pPr>
              <w:pStyle w:val="ListParagraph"/>
              <w:numPr>
                <w:ilvl w:val="0"/>
                <w:numId w:val="1"/>
              </w:numPr>
              <w:spacing w:after="0" w:line="240" w:lineRule="auto"/>
              <w:ind w:left="162" w:hanging="16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Lobby for fund allocation for the various sports/ recreational facilities</w:t>
            </w:r>
          </w:p>
        </w:tc>
      </w:tr>
      <w:tr w:rsidR="004146EE" w:rsidRPr="00E52051" w:rsidTr="00D5524D">
        <w:tc>
          <w:tcPr>
            <w:tcW w:w="3616" w:type="dxa"/>
          </w:tcPr>
          <w:p w:rsidR="004146EE" w:rsidRPr="00E52051" w:rsidRDefault="004146EE" w:rsidP="004146EE">
            <w:pPr>
              <w:pStyle w:val="ListParagraph"/>
              <w:numPr>
                <w:ilvl w:val="0"/>
                <w:numId w:val="3"/>
              </w:numPr>
              <w:spacing w:after="0" w:line="240" w:lineRule="auto"/>
              <w:ind w:left="251" w:hanging="270"/>
              <w:rPr>
                <w:rFonts w:ascii="Times New Roman" w:eastAsia="Batang" w:hAnsi="Times New Roman" w:cs="Times New Roman"/>
                <w:color w:val="000000" w:themeColor="text1"/>
                <w:sz w:val="24"/>
                <w:szCs w:val="24"/>
              </w:rPr>
            </w:pPr>
            <w:r w:rsidRPr="00E52051">
              <w:rPr>
                <w:rFonts w:ascii="Times New Roman" w:eastAsia="Batang" w:hAnsi="Times New Roman" w:cs="Times New Roman"/>
                <w:color w:val="000000" w:themeColor="text1"/>
                <w:sz w:val="24"/>
                <w:szCs w:val="24"/>
              </w:rPr>
              <w:t>Maintaining of sports facilities of every events like basketball gymnasiums, etc.</w:t>
            </w:r>
          </w:p>
        </w:tc>
        <w:tc>
          <w:tcPr>
            <w:tcW w:w="2970" w:type="dxa"/>
          </w:tcPr>
          <w:p w:rsidR="004146EE" w:rsidRPr="00DB68D5" w:rsidRDefault="004146EE" w:rsidP="004146EE">
            <w:pPr>
              <w:pStyle w:val="ListParagraph"/>
              <w:numPr>
                <w:ilvl w:val="0"/>
                <w:numId w:val="13"/>
              </w:numPr>
              <w:spacing w:after="0" w:line="240" w:lineRule="auto"/>
              <w:ind w:left="252" w:hanging="25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Development &amp; maintenance of sports/ recreation facilities</w:t>
            </w:r>
          </w:p>
        </w:tc>
        <w:tc>
          <w:tcPr>
            <w:tcW w:w="2654" w:type="dxa"/>
          </w:tcPr>
          <w:p w:rsidR="004146EE" w:rsidRPr="00DB68D5" w:rsidRDefault="004146EE" w:rsidP="004146EE">
            <w:pPr>
              <w:pStyle w:val="ListParagraph"/>
              <w:numPr>
                <w:ilvl w:val="0"/>
                <w:numId w:val="13"/>
              </w:numPr>
              <w:spacing w:after="0" w:line="240" w:lineRule="auto"/>
              <w:ind w:left="162" w:hanging="162"/>
              <w:rPr>
                <w:rFonts w:ascii="Times New Roman" w:eastAsia="Batang" w:hAnsi="Times New Roman" w:cs="Times New Roman"/>
                <w:color w:val="000000" w:themeColor="text1"/>
                <w:sz w:val="24"/>
                <w:szCs w:val="24"/>
              </w:rPr>
            </w:pPr>
            <w:r w:rsidRPr="00DB68D5">
              <w:rPr>
                <w:rFonts w:ascii="Times New Roman" w:eastAsia="Batang" w:hAnsi="Times New Roman" w:cs="Times New Roman"/>
                <w:color w:val="000000" w:themeColor="text1"/>
                <w:sz w:val="24"/>
                <w:szCs w:val="24"/>
              </w:rPr>
              <w:t>Yearly budget appropriation for the maintenance of facilities</w:t>
            </w:r>
          </w:p>
        </w:tc>
      </w:tr>
    </w:tbl>
    <w:p w:rsidR="00950B3E" w:rsidRPr="00E52051" w:rsidRDefault="00950B3E" w:rsidP="00D24CEC">
      <w:pPr>
        <w:spacing w:after="0" w:line="360" w:lineRule="auto"/>
        <w:jc w:val="both"/>
        <w:rPr>
          <w:rFonts w:ascii="Times New Roman" w:hAnsi="Times New Roman" w:cs="Times New Roman"/>
          <w:b/>
          <w:color w:val="000000" w:themeColor="text1"/>
          <w:sz w:val="24"/>
          <w:szCs w:val="24"/>
        </w:rPr>
      </w:pPr>
    </w:p>
    <w:sectPr w:rsidR="00950B3E" w:rsidRPr="00E52051" w:rsidSect="004146EE">
      <w:headerReference w:type="default" r:id="rId10"/>
      <w:footerReference w:type="default" r:id="rId11"/>
      <w:headerReference w:type="first" r:id="rId12"/>
      <w:footerReference w:type="first" r:id="rId13"/>
      <w:pgSz w:w="12240" w:h="18720"/>
      <w:pgMar w:top="1440" w:right="1440" w:bottom="1440" w:left="1440" w:header="720" w:footer="0" w:gutter="0"/>
      <w:pgNumType w:start="7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450" w:rsidRDefault="005A6450" w:rsidP="005E15F7">
      <w:pPr>
        <w:spacing w:after="0" w:line="240" w:lineRule="auto"/>
      </w:pPr>
      <w:r>
        <w:separator/>
      </w:r>
    </w:p>
  </w:endnote>
  <w:endnote w:type="continuationSeparator" w:id="0">
    <w:p w:rsidR="005A6450" w:rsidRDefault="005A6450"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4F667E" w:rsidRPr="004F667E" w:rsidTr="004F667E">
      <w:trPr>
        <w:trHeight w:hRule="exact" w:val="1137"/>
      </w:trPr>
      <w:tc>
        <w:tcPr>
          <w:tcW w:w="11" w:type="pct"/>
          <w:shd w:val="clear" w:color="auto" w:fill="D60093"/>
          <w:vAlign w:val="center"/>
        </w:tcPr>
        <w:p w:rsidR="00E75760" w:rsidRPr="004F667E" w:rsidRDefault="00E75760" w:rsidP="00AA0121">
          <w:pPr>
            <w:pStyle w:val="Footer"/>
            <w:tabs>
              <w:tab w:val="clear" w:pos="4680"/>
              <w:tab w:val="clear" w:pos="9360"/>
            </w:tabs>
            <w:spacing w:before="40" w:after="40"/>
            <w:rPr>
              <w:color w:val="002060"/>
            </w:rPr>
          </w:pPr>
        </w:p>
      </w:tc>
      <w:tc>
        <w:tcPr>
          <w:tcW w:w="4534" w:type="pct"/>
          <w:shd w:val="clear" w:color="auto" w:fill="FFFF00"/>
          <w:vAlign w:val="center"/>
        </w:tcPr>
        <w:p w:rsidR="00E75760" w:rsidRPr="004F667E" w:rsidRDefault="00E75760" w:rsidP="00AA0121">
          <w:pPr>
            <w:pStyle w:val="Footer"/>
            <w:tabs>
              <w:tab w:val="clear" w:pos="4680"/>
              <w:tab w:val="clear" w:pos="9360"/>
            </w:tabs>
            <w:spacing w:before="40" w:after="40"/>
            <w:ind w:left="144" w:right="144"/>
            <w:rPr>
              <w:rFonts w:ascii="Brush Script MT" w:hAnsi="Brush Script MT"/>
              <w:b/>
              <w:color w:val="002060"/>
              <w:sz w:val="2"/>
              <w:szCs w:val="28"/>
            </w:rPr>
          </w:pPr>
          <w:r w:rsidRPr="004F667E">
            <w:rPr>
              <w:noProof/>
              <w:color w:val="002060"/>
              <w:lang w:val="en-PH" w:eastAsia="en-PH"/>
            </w:rPr>
            <w:drawing>
              <wp:anchor distT="0" distB="0" distL="114300" distR="114300" simplePos="0" relativeHeight="251670528" behindDoc="0" locked="0" layoutInCell="1" allowOverlap="1" wp14:anchorId="49713AA4" wp14:editId="17E38D22">
                <wp:simplePos x="0" y="0"/>
                <wp:positionH relativeFrom="column">
                  <wp:posOffset>125730</wp:posOffset>
                </wp:positionH>
                <wp:positionV relativeFrom="paragraph">
                  <wp:posOffset>53340</wp:posOffset>
                </wp:positionV>
                <wp:extent cx="529590" cy="531495"/>
                <wp:effectExtent l="0" t="0" r="3810" b="1905"/>
                <wp:wrapNone/>
                <wp:docPr id="2"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E75760" w:rsidRPr="004F667E" w:rsidRDefault="00E75760"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E75760" w:rsidRPr="004F667E" w:rsidRDefault="00E75760" w:rsidP="00AA0121">
          <w:pPr>
            <w:pStyle w:val="Footer"/>
            <w:tabs>
              <w:tab w:val="clear" w:pos="4680"/>
              <w:tab w:val="clear" w:pos="9360"/>
            </w:tabs>
            <w:spacing w:before="40" w:after="40"/>
            <w:ind w:right="144" w:hanging="449"/>
            <w:rPr>
              <w:b/>
              <w:color w:val="002060"/>
              <w:sz w:val="28"/>
              <w:szCs w:val="28"/>
            </w:rPr>
          </w:pPr>
          <w:r w:rsidRPr="004F667E">
            <w:rPr>
              <w:rFonts w:ascii="Brush Script MT" w:hAnsi="Brush Script MT"/>
              <w:b/>
              <w:color w:val="002060"/>
              <w:sz w:val="36"/>
              <w:szCs w:val="28"/>
            </w:rPr>
            <w:t xml:space="preserve">Ma           </w:t>
          </w:r>
          <w:proofErr w:type="spellStart"/>
          <w:r w:rsidRPr="004F667E">
            <w:rPr>
              <w:rFonts w:ascii="Brush Script MT" w:hAnsi="Brush Script MT"/>
              <w:b/>
              <w:color w:val="002060"/>
              <w:sz w:val="36"/>
              <w:szCs w:val="28"/>
            </w:rPr>
            <w:t>Mangaldan</w:t>
          </w:r>
          <w:proofErr w:type="spellEnd"/>
          <w:r w:rsidRPr="004F667E">
            <w:rPr>
              <w:rFonts w:ascii="Brush Script MT" w:hAnsi="Brush Script MT"/>
              <w:b/>
              <w:color w:val="002060"/>
              <w:sz w:val="36"/>
              <w:szCs w:val="28"/>
            </w:rPr>
            <w:t xml:space="preserve">, </w:t>
          </w:r>
          <w:proofErr w:type="spellStart"/>
          <w:r w:rsidRPr="004F667E">
            <w:rPr>
              <w:rFonts w:ascii="Brush Script MT" w:hAnsi="Brush Script MT"/>
              <w:b/>
              <w:color w:val="002060"/>
              <w:sz w:val="36"/>
              <w:szCs w:val="28"/>
            </w:rPr>
            <w:t>Pangasinan</w:t>
          </w:r>
          <w:proofErr w:type="spellEnd"/>
          <w:r w:rsidRPr="004F667E">
            <w:rPr>
              <w:rFonts w:ascii="Brush Script MT" w:hAnsi="Brush Script MT"/>
              <w:b/>
              <w:color w:val="002060"/>
              <w:sz w:val="36"/>
              <w:szCs w:val="28"/>
            </w:rPr>
            <w:t xml:space="preserve">   </w:t>
          </w:r>
          <w:r w:rsidRPr="004F667E">
            <w:rPr>
              <w:rFonts w:ascii="Berlin Sans FB Demi" w:hAnsi="Berlin Sans FB Demi"/>
              <w:b/>
              <w:color w:val="002060"/>
              <w:sz w:val="28"/>
              <w:szCs w:val="28"/>
            </w:rPr>
            <w:t>VOLUME 2: SECTORAL STUDIES</w:t>
          </w:r>
        </w:p>
      </w:tc>
      <w:tc>
        <w:tcPr>
          <w:tcW w:w="455" w:type="pct"/>
          <w:shd w:val="clear" w:color="auto" w:fill="002060"/>
          <w:vAlign w:val="center"/>
        </w:tcPr>
        <w:p w:rsidR="00E75760" w:rsidRPr="004F667E" w:rsidRDefault="00E75760"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4F667E">
            <w:rPr>
              <w:rFonts w:ascii="Berlin Sans FB Demi" w:hAnsi="Berlin Sans FB Demi"/>
              <w:color w:val="FFFFFF" w:themeColor="background1"/>
              <w:sz w:val="28"/>
              <w:szCs w:val="28"/>
            </w:rPr>
            <w:fldChar w:fldCharType="begin"/>
          </w:r>
          <w:r w:rsidRPr="004F667E">
            <w:rPr>
              <w:rFonts w:ascii="Berlin Sans FB Demi" w:hAnsi="Berlin Sans FB Demi"/>
              <w:color w:val="FFFFFF" w:themeColor="background1"/>
              <w:sz w:val="28"/>
              <w:szCs w:val="28"/>
            </w:rPr>
            <w:instrText xml:space="preserve"> PAGE   \* MERGEFORMAT </w:instrText>
          </w:r>
          <w:r w:rsidRPr="004F667E">
            <w:rPr>
              <w:rFonts w:ascii="Berlin Sans FB Demi" w:hAnsi="Berlin Sans FB Demi"/>
              <w:color w:val="FFFFFF" w:themeColor="background1"/>
              <w:sz w:val="28"/>
              <w:szCs w:val="28"/>
            </w:rPr>
            <w:fldChar w:fldCharType="separate"/>
          </w:r>
          <w:r w:rsidR="00950D18">
            <w:rPr>
              <w:rFonts w:ascii="Berlin Sans FB Demi" w:hAnsi="Berlin Sans FB Demi"/>
              <w:noProof/>
              <w:color w:val="FFFFFF" w:themeColor="background1"/>
              <w:sz w:val="28"/>
              <w:szCs w:val="28"/>
            </w:rPr>
            <w:t>74</w:t>
          </w:r>
          <w:r w:rsidRPr="004F667E">
            <w:rPr>
              <w:rFonts w:ascii="Berlin Sans FB Demi" w:hAnsi="Berlin Sans FB Demi"/>
              <w:noProof/>
              <w:color w:val="FFFFFF" w:themeColor="background1"/>
              <w:sz w:val="28"/>
              <w:szCs w:val="28"/>
            </w:rPr>
            <w:fldChar w:fldCharType="end"/>
          </w:r>
        </w:p>
      </w:tc>
    </w:tr>
  </w:tbl>
  <w:p w:rsidR="00E75760" w:rsidRPr="004F667E" w:rsidRDefault="00E75760" w:rsidP="00E75760">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190"/>
      <w:gridCol w:w="922"/>
    </w:tblGrid>
    <w:tr w:rsidR="004F667E" w:rsidRPr="004F667E" w:rsidTr="004F667E">
      <w:trPr>
        <w:trHeight w:hRule="exact" w:val="1137"/>
      </w:trPr>
      <w:tc>
        <w:tcPr>
          <w:tcW w:w="11" w:type="pct"/>
          <w:shd w:val="clear" w:color="auto" w:fill="D60093"/>
          <w:vAlign w:val="center"/>
        </w:tcPr>
        <w:p w:rsidR="00E75760" w:rsidRPr="004F667E" w:rsidRDefault="00E75760" w:rsidP="00AA0121">
          <w:pPr>
            <w:pStyle w:val="Footer"/>
            <w:tabs>
              <w:tab w:val="clear" w:pos="4680"/>
              <w:tab w:val="clear" w:pos="9360"/>
            </w:tabs>
            <w:spacing w:before="40" w:after="40"/>
            <w:rPr>
              <w:color w:val="002060"/>
            </w:rPr>
          </w:pPr>
        </w:p>
      </w:tc>
      <w:tc>
        <w:tcPr>
          <w:tcW w:w="4534" w:type="pct"/>
          <w:shd w:val="clear" w:color="auto" w:fill="FFFF00"/>
          <w:vAlign w:val="center"/>
        </w:tcPr>
        <w:p w:rsidR="00E75760" w:rsidRPr="004F667E" w:rsidRDefault="00E75760" w:rsidP="00AA0121">
          <w:pPr>
            <w:pStyle w:val="Footer"/>
            <w:tabs>
              <w:tab w:val="clear" w:pos="4680"/>
              <w:tab w:val="clear" w:pos="9360"/>
            </w:tabs>
            <w:spacing w:before="40" w:after="40"/>
            <w:ind w:left="144" w:right="144"/>
            <w:rPr>
              <w:rFonts w:ascii="Brush Script MT" w:hAnsi="Brush Script MT"/>
              <w:b/>
              <w:color w:val="002060"/>
              <w:sz w:val="2"/>
              <w:szCs w:val="28"/>
            </w:rPr>
          </w:pPr>
          <w:r w:rsidRPr="004F667E">
            <w:rPr>
              <w:noProof/>
              <w:color w:val="002060"/>
              <w:lang w:val="en-PH" w:eastAsia="en-PH"/>
            </w:rPr>
            <w:drawing>
              <wp:anchor distT="0" distB="0" distL="114300" distR="114300" simplePos="0" relativeHeight="251668480" behindDoc="0" locked="0" layoutInCell="1" allowOverlap="1" wp14:anchorId="3E7CEB4A" wp14:editId="595B3C64">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E75760" w:rsidRPr="004F667E" w:rsidRDefault="00E75760"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E75760" w:rsidRPr="004F667E" w:rsidRDefault="00E75760" w:rsidP="00AA0121">
          <w:pPr>
            <w:pStyle w:val="Footer"/>
            <w:tabs>
              <w:tab w:val="clear" w:pos="4680"/>
              <w:tab w:val="clear" w:pos="9360"/>
            </w:tabs>
            <w:spacing w:before="40" w:after="40"/>
            <w:ind w:right="144" w:hanging="449"/>
            <w:rPr>
              <w:b/>
              <w:color w:val="002060"/>
              <w:sz w:val="28"/>
              <w:szCs w:val="28"/>
            </w:rPr>
          </w:pPr>
          <w:r w:rsidRPr="004F667E">
            <w:rPr>
              <w:rFonts w:ascii="Brush Script MT" w:hAnsi="Brush Script MT"/>
              <w:b/>
              <w:color w:val="002060"/>
              <w:sz w:val="36"/>
              <w:szCs w:val="28"/>
            </w:rPr>
            <w:t xml:space="preserve">Ma           </w:t>
          </w:r>
          <w:proofErr w:type="spellStart"/>
          <w:r w:rsidRPr="004F667E">
            <w:rPr>
              <w:rFonts w:ascii="Brush Script MT" w:hAnsi="Brush Script MT"/>
              <w:b/>
              <w:color w:val="002060"/>
              <w:sz w:val="36"/>
              <w:szCs w:val="28"/>
            </w:rPr>
            <w:t>Mangaldan</w:t>
          </w:r>
          <w:proofErr w:type="spellEnd"/>
          <w:r w:rsidRPr="004F667E">
            <w:rPr>
              <w:rFonts w:ascii="Brush Script MT" w:hAnsi="Brush Script MT"/>
              <w:b/>
              <w:color w:val="002060"/>
              <w:sz w:val="36"/>
              <w:szCs w:val="28"/>
            </w:rPr>
            <w:t xml:space="preserve">, </w:t>
          </w:r>
          <w:proofErr w:type="spellStart"/>
          <w:r w:rsidRPr="004F667E">
            <w:rPr>
              <w:rFonts w:ascii="Brush Script MT" w:hAnsi="Brush Script MT"/>
              <w:b/>
              <w:color w:val="002060"/>
              <w:sz w:val="36"/>
              <w:szCs w:val="28"/>
            </w:rPr>
            <w:t>Pangasinan</w:t>
          </w:r>
          <w:proofErr w:type="spellEnd"/>
          <w:r w:rsidRPr="004F667E">
            <w:rPr>
              <w:rFonts w:ascii="Brush Script MT" w:hAnsi="Brush Script MT"/>
              <w:b/>
              <w:color w:val="002060"/>
              <w:sz w:val="36"/>
              <w:szCs w:val="28"/>
            </w:rPr>
            <w:t xml:space="preserve">   </w:t>
          </w:r>
          <w:r w:rsidRPr="004F667E">
            <w:rPr>
              <w:rFonts w:ascii="Berlin Sans FB Demi" w:hAnsi="Berlin Sans FB Demi"/>
              <w:b/>
              <w:color w:val="002060"/>
              <w:sz w:val="28"/>
              <w:szCs w:val="28"/>
            </w:rPr>
            <w:t>VOLUME 2: SECTORAL STUDIES</w:t>
          </w:r>
        </w:p>
      </w:tc>
      <w:tc>
        <w:tcPr>
          <w:tcW w:w="455" w:type="pct"/>
          <w:shd w:val="clear" w:color="auto" w:fill="002060"/>
          <w:vAlign w:val="center"/>
        </w:tcPr>
        <w:p w:rsidR="00E75760" w:rsidRPr="004F667E" w:rsidRDefault="00E75760"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4F667E">
            <w:rPr>
              <w:rFonts w:ascii="Berlin Sans FB Demi" w:hAnsi="Berlin Sans FB Demi"/>
              <w:color w:val="FFFFFF" w:themeColor="background1"/>
              <w:sz w:val="28"/>
              <w:szCs w:val="28"/>
            </w:rPr>
            <w:fldChar w:fldCharType="begin"/>
          </w:r>
          <w:r w:rsidRPr="004F667E">
            <w:rPr>
              <w:rFonts w:ascii="Berlin Sans FB Demi" w:hAnsi="Berlin Sans FB Demi"/>
              <w:color w:val="FFFFFF" w:themeColor="background1"/>
              <w:sz w:val="28"/>
              <w:szCs w:val="28"/>
            </w:rPr>
            <w:instrText xml:space="preserve"> PAGE   \* MERGEFORMAT </w:instrText>
          </w:r>
          <w:r w:rsidRPr="004F667E">
            <w:rPr>
              <w:rFonts w:ascii="Berlin Sans FB Demi" w:hAnsi="Berlin Sans FB Demi"/>
              <w:color w:val="FFFFFF" w:themeColor="background1"/>
              <w:sz w:val="28"/>
              <w:szCs w:val="28"/>
            </w:rPr>
            <w:fldChar w:fldCharType="separate"/>
          </w:r>
          <w:r w:rsidR="00950D18">
            <w:rPr>
              <w:rFonts w:ascii="Berlin Sans FB Demi" w:hAnsi="Berlin Sans FB Demi"/>
              <w:noProof/>
              <w:color w:val="FFFFFF" w:themeColor="background1"/>
              <w:sz w:val="28"/>
              <w:szCs w:val="28"/>
            </w:rPr>
            <w:t>71</w:t>
          </w:r>
          <w:r w:rsidRPr="004F667E">
            <w:rPr>
              <w:rFonts w:ascii="Berlin Sans FB Demi" w:hAnsi="Berlin Sans FB Demi"/>
              <w:noProof/>
              <w:color w:val="FFFFFF" w:themeColor="background1"/>
              <w:sz w:val="28"/>
              <w:szCs w:val="28"/>
            </w:rPr>
            <w:fldChar w:fldCharType="end"/>
          </w:r>
        </w:p>
      </w:tc>
    </w:tr>
  </w:tbl>
  <w:p w:rsidR="00E75760" w:rsidRPr="004F667E" w:rsidRDefault="00E75760" w:rsidP="00E75760">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450" w:rsidRDefault="005A6450" w:rsidP="005E15F7">
      <w:pPr>
        <w:spacing w:after="0" w:line="240" w:lineRule="auto"/>
      </w:pPr>
      <w:r>
        <w:separator/>
      </w:r>
    </w:p>
  </w:footnote>
  <w:footnote w:type="continuationSeparator" w:id="0">
    <w:p w:rsidR="005A6450" w:rsidRDefault="005A6450"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8A" w:rsidRDefault="005A6450">
    <w:pPr>
      <w:pStyle w:val="Header"/>
    </w:pPr>
    <w:r>
      <w:rPr>
        <w:noProof/>
      </w:rPr>
      <w:pict>
        <v:shapetype id="_x0000_t202" coordsize="21600,21600" o:spt="202" path="m,l,21600r21600,l21600,xe">
          <v:stroke joinstyle="miter"/>
          <v:path gradientshapeok="t" o:connecttype="rect"/>
        </v:shapetype>
        <v:shape id="Text Box 17" o:spid="_x0000_s2055" type="#_x0000_t202" style="position:absolute;margin-left:511pt;margin-top:11.3pt;width:83.8pt;height:60.4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99048A" w:rsidRPr="004F667E" w:rsidRDefault="00C94621" w:rsidP="006C2EFA">
                <w:pPr>
                  <w:spacing w:after="0" w:line="240" w:lineRule="auto"/>
                  <w:contextualSpacing/>
                  <w:jc w:val="center"/>
                  <w:rPr>
                    <w:rFonts w:ascii="Copperplate Gothic Light" w:hAnsi="Copperplate Gothic Light"/>
                    <w:b/>
                    <w:color w:val="FFFF00"/>
                    <w:sz w:val="88"/>
                    <w:szCs w:val="88"/>
                  </w:rPr>
                </w:pPr>
                <w:r w:rsidRPr="004F667E">
                  <w:rPr>
                    <w:rFonts w:ascii="Copperplate Gothic Light" w:hAnsi="Copperplate Gothic Light"/>
                    <w:b/>
                    <w:color w:val="FFFF00"/>
                    <w:sz w:val="88"/>
                    <w:szCs w:val="88"/>
                  </w:rPr>
                  <w:t>SR</w:t>
                </w:r>
              </w:p>
              <w:p w:rsidR="0099048A" w:rsidRPr="004F667E" w:rsidRDefault="0099048A" w:rsidP="006C2EFA">
                <w:pPr>
                  <w:spacing w:after="0" w:line="240" w:lineRule="auto"/>
                  <w:contextualSpacing/>
                  <w:rPr>
                    <w:rFonts w:ascii="Copperplate Gothic Light" w:hAnsi="Copperplate Gothic Light"/>
                    <w:sz w:val="88"/>
                    <w:szCs w:val="88"/>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62C" w:rsidRDefault="005A6450">
    <w:pPr>
      <w:pStyle w:val="Header"/>
    </w:pPr>
    <w:r>
      <w:rPr>
        <w:noProof/>
        <w:lang w:val="en-PH" w:eastAsia="en-PH"/>
      </w:rPr>
      <w:pict>
        <v:shapetype id="_x0000_t202" coordsize="21600,21600" o:spt="202" path="m,l,21600r21600,l21600,xe">
          <v:stroke joinstyle="miter"/>
          <v:path gradientshapeok="t" o:connecttype="rect"/>
        </v:shapetype>
        <v:shape id="_x0000_s2057" type="#_x0000_t202" style="position:absolute;margin-left:508.5pt;margin-top:8.05pt;width:83.8pt;height:60.45pt;z-index:2516715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7">
            <w:txbxContent>
              <w:p w:rsidR="0053462C" w:rsidRPr="004F667E" w:rsidRDefault="0053462C" w:rsidP="0053462C">
                <w:pPr>
                  <w:spacing w:after="0" w:line="240" w:lineRule="auto"/>
                  <w:contextualSpacing/>
                  <w:jc w:val="center"/>
                  <w:rPr>
                    <w:rFonts w:ascii="Copperplate Gothic Light" w:hAnsi="Copperplate Gothic Light"/>
                    <w:b/>
                    <w:color w:val="FFFF00"/>
                    <w:sz w:val="88"/>
                    <w:szCs w:val="88"/>
                  </w:rPr>
                </w:pPr>
                <w:r w:rsidRPr="004F667E">
                  <w:rPr>
                    <w:rFonts w:ascii="Copperplate Gothic Light" w:hAnsi="Copperplate Gothic Light"/>
                    <w:b/>
                    <w:color w:val="FFFF00"/>
                    <w:sz w:val="88"/>
                    <w:szCs w:val="88"/>
                  </w:rPr>
                  <w:t>SR</w:t>
                </w:r>
              </w:p>
              <w:p w:rsidR="0053462C" w:rsidRPr="004F667E" w:rsidRDefault="0053462C" w:rsidP="0053462C">
                <w:pPr>
                  <w:spacing w:after="0" w:line="240" w:lineRule="auto"/>
                  <w:contextualSpacing/>
                  <w:rPr>
                    <w:rFonts w:ascii="Copperplate Gothic Light" w:hAnsi="Copperplate Gothic Light"/>
                    <w:sz w:val="88"/>
                    <w:szCs w:val="8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34BA"/>
    <w:multiLevelType w:val="hybridMultilevel"/>
    <w:tmpl w:val="E58A9A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61A6E"/>
    <w:multiLevelType w:val="hybridMultilevel"/>
    <w:tmpl w:val="89A64EEE"/>
    <w:lvl w:ilvl="0" w:tplc="2D1C17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6A50FD"/>
    <w:multiLevelType w:val="hybridMultilevel"/>
    <w:tmpl w:val="72DCFBFC"/>
    <w:lvl w:ilvl="0" w:tplc="53D46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72205F"/>
    <w:multiLevelType w:val="hybridMultilevel"/>
    <w:tmpl w:val="1888710C"/>
    <w:lvl w:ilvl="0" w:tplc="53D46BF0">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37CF42EF"/>
    <w:multiLevelType w:val="hybridMultilevel"/>
    <w:tmpl w:val="DAF0ACA2"/>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F332E1"/>
    <w:multiLevelType w:val="hybridMultilevel"/>
    <w:tmpl w:val="48682FE2"/>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4EDF0F1B"/>
    <w:multiLevelType w:val="hybridMultilevel"/>
    <w:tmpl w:val="2260488C"/>
    <w:lvl w:ilvl="0" w:tplc="2E0CE368">
      <w:start w:val="1"/>
      <w:numFmt w:val="bullet"/>
      <w:lvlText w:val="-"/>
      <w:lvlJc w:val="left"/>
      <w:pPr>
        <w:ind w:left="36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6E009F"/>
    <w:multiLevelType w:val="hybridMultilevel"/>
    <w:tmpl w:val="FC5021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D2FB0"/>
    <w:multiLevelType w:val="hybridMultilevel"/>
    <w:tmpl w:val="57B0528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A77A31"/>
    <w:multiLevelType w:val="hybridMultilevel"/>
    <w:tmpl w:val="176C082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8311EC1"/>
    <w:multiLevelType w:val="hybridMultilevel"/>
    <w:tmpl w:val="17E6297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6C793606"/>
    <w:multiLevelType w:val="hybridMultilevel"/>
    <w:tmpl w:val="6CE2B1AC"/>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8"/>
  </w:num>
  <w:num w:numId="6">
    <w:abstractNumId w:val="2"/>
  </w:num>
  <w:num w:numId="7">
    <w:abstractNumId w:val="10"/>
  </w:num>
  <w:num w:numId="8">
    <w:abstractNumId w:val="6"/>
  </w:num>
  <w:num w:numId="9">
    <w:abstractNumId w:val="11"/>
  </w:num>
  <w:num w:numId="10">
    <w:abstractNumId w:val="3"/>
  </w:num>
  <w:num w:numId="11">
    <w:abstractNumId w:val="7"/>
  </w:num>
  <w:num w:numId="12">
    <w:abstractNumId w:val="9"/>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FFC"/>
    <w:rsid w:val="000123CD"/>
    <w:rsid w:val="00013F4D"/>
    <w:rsid w:val="00032F70"/>
    <w:rsid w:val="00034F33"/>
    <w:rsid w:val="00035AA0"/>
    <w:rsid w:val="00037740"/>
    <w:rsid w:val="00044780"/>
    <w:rsid w:val="00050FD3"/>
    <w:rsid w:val="000632F3"/>
    <w:rsid w:val="00066D3D"/>
    <w:rsid w:val="00077EE4"/>
    <w:rsid w:val="00086634"/>
    <w:rsid w:val="00087179"/>
    <w:rsid w:val="00090B94"/>
    <w:rsid w:val="00094877"/>
    <w:rsid w:val="00094FEA"/>
    <w:rsid w:val="000B4E34"/>
    <w:rsid w:val="000C547B"/>
    <w:rsid w:val="000D6A76"/>
    <w:rsid w:val="000E6537"/>
    <w:rsid w:val="000F6D7E"/>
    <w:rsid w:val="000F7398"/>
    <w:rsid w:val="00105FE5"/>
    <w:rsid w:val="001068A8"/>
    <w:rsid w:val="0011433F"/>
    <w:rsid w:val="00115B4C"/>
    <w:rsid w:val="0012455F"/>
    <w:rsid w:val="00134657"/>
    <w:rsid w:val="00136CE9"/>
    <w:rsid w:val="00137CEB"/>
    <w:rsid w:val="00140566"/>
    <w:rsid w:val="0015084E"/>
    <w:rsid w:val="00156713"/>
    <w:rsid w:val="00166804"/>
    <w:rsid w:val="001703BA"/>
    <w:rsid w:val="00175AD9"/>
    <w:rsid w:val="00176D3F"/>
    <w:rsid w:val="001931F1"/>
    <w:rsid w:val="001A3794"/>
    <w:rsid w:val="001B2D20"/>
    <w:rsid w:val="001B72EE"/>
    <w:rsid w:val="001C28C5"/>
    <w:rsid w:val="001F0B74"/>
    <w:rsid w:val="001F194A"/>
    <w:rsid w:val="001F3E81"/>
    <w:rsid w:val="00201A61"/>
    <w:rsid w:val="00213DDA"/>
    <w:rsid w:val="002211B3"/>
    <w:rsid w:val="002217A6"/>
    <w:rsid w:val="002233E1"/>
    <w:rsid w:val="0022664D"/>
    <w:rsid w:val="00232001"/>
    <w:rsid w:val="00235E63"/>
    <w:rsid w:val="00236566"/>
    <w:rsid w:val="0024277E"/>
    <w:rsid w:val="0024327B"/>
    <w:rsid w:val="002439D6"/>
    <w:rsid w:val="002452AD"/>
    <w:rsid w:val="0025125A"/>
    <w:rsid w:val="00251F09"/>
    <w:rsid w:val="00260AC0"/>
    <w:rsid w:val="00266FB9"/>
    <w:rsid w:val="002733C7"/>
    <w:rsid w:val="00275F7D"/>
    <w:rsid w:val="00277D2B"/>
    <w:rsid w:val="00277F66"/>
    <w:rsid w:val="002910E0"/>
    <w:rsid w:val="002B2D36"/>
    <w:rsid w:val="002C19D3"/>
    <w:rsid w:val="002C70A8"/>
    <w:rsid w:val="002D1928"/>
    <w:rsid w:val="002D6E26"/>
    <w:rsid w:val="002E71BE"/>
    <w:rsid w:val="002F529D"/>
    <w:rsid w:val="003001D2"/>
    <w:rsid w:val="003009EB"/>
    <w:rsid w:val="003075B5"/>
    <w:rsid w:val="00316091"/>
    <w:rsid w:val="00351C6B"/>
    <w:rsid w:val="003523F8"/>
    <w:rsid w:val="00352AF4"/>
    <w:rsid w:val="00353970"/>
    <w:rsid w:val="00360050"/>
    <w:rsid w:val="003813F4"/>
    <w:rsid w:val="00391634"/>
    <w:rsid w:val="003921F5"/>
    <w:rsid w:val="00393631"/>
    <w:rsid w:val="0039721E"/>
    <w:rsid w:val="0039786C"/>
    <w:rsid w:val="003C0888"/>
    <w:rsid w:val="003C1B65"/>
    <w:rsid w:val="003D195E"/>
    <w:rsid w:val="003D4A3B"/>
    <w:rsid w:val="003D59FF"/>
    <w:rsid w:val="003D5DBA"/>
    <w:rsid w:val="003E14AB"/>
    <w:rsid w:val="0041398A"/>
    <w:rsid w:val="004141C9"/>
    <w:rsid w:val="004146EE"/>
    <w:rsid w:val="00430486"/>
    <w:rsid w:val="00430B49"/>
    <w:rsid w:val="00435D14"/>
    <w:rsid w:val="00435F64"/>
    <w:rsid w:val="00442C07"/>
    <w:rsid w:val="00452414"/>
    <w:rsid w:val="004578AF"/>
    <w:rsid w:val="004637FB"/>
    <w:rsid w:val="00471C29"/>
    <w:rsid w:val="00496295"/>
    <w:rsid w:val="004B20F3"/>
    <w:rsid w:val="004B516F"/>
    <w:rsid w:val="004B5335"/>
    <w:rsid w:val="004B6464"/>
    <w:rsid w:val="004E1170"/>
    <w:rsid w:val="004E1FE5"/>
    <w:rsid w:val="004F354D"/>
    <w:rsid w:val="004F667E"/>
    <w:rsid w:val="00500BE8"/>
    <w:rsid w:val="00503E82"/>
    <w:rsid w:val="005111B9"/>
    <w:rsid w:val="00521564"/>
    <w:rsid w:val="00521E4C"/>
    <w:rsid w:val="0053462C"/>
    <w:rsid w:val="005423C1"/>
    <w:rsid w:val="005467F0"/>
    <w:rsid w:val="0055181E"/>
    <w:rsid w:val="00560817"/>
    <w:rsid w:val="00572016"/>
    <w:rsid w:val="00574184"/>
    <w:rsid w:val="005817F7"/>
    <w:rsid w:val="00586F3C"/>
    <w:rsid w:val="0059013A"/>
    <w:rsid w:val="005959E5"/>
    <w:rsid w:val="005A6450"/>
    <w:rsid w:val="005B12DB"/>
    <w:rsid w:val="005B354C"/>
    <w:rsid w:val="005B657E"/>
    <w:rsid w:val="005C4585"/>
    <w:rsid w:val="005C4ADB"/>
    <w:rsid w:val="005D6BD5"/>
    <w:rsid w:val="005E15F7"/>
    <w:rsid w:val="005E1CCC"/>
    <w:rsid w:val="005E6DC4"/>
    <w:rsid w:val="005E6FF2"/>
    <w:rsid w:val="005F1AA6"/>
    <w:rsid w:val="006058B5"/>
    <w:rsid w:val="00611AF4"/>
    <w:rsid w:val="006131AB"/>
    <w:rsid w:val="00615BB7"/>
    <w:rsid w:val="00620C12"/>
    <w:rsid w:val="00643615"/>
    <w:rsid w:val="0064492D"/>
    <w:rsid w:val="0064620D"/>
    <w:rsid w:val="00650286"/>
    <w:rsid w:val="00650465"/>
    <w:rsid w:val="006569FC"/>
    <w:rsid w:val="00656EDB"/>
    <w:rsid w:val="006607BA"/>
    <w:rsid w:val="0066561B"/>
    <w:rsid w:val="00672B72"/>
    <w:rsid w:val="006A154F"/>
    <w:rsid w:val="006A1889"/>
    <w:rsid w:val="006B4F9B"/>
    <w:rsid w:val="006C1354"/>
    <w:rsid w:val="006C2EFA"/>
    <w:rsid w:val="006D1A4A"/>
    <w:rsid w:val="006D7F11"/>
    <w:rsid w:val="006E16E4"/>
    <w:rsid w:val="006E4387"/>
    <w:rsid w:val="006E7329"/>
    <w:rsid w:val="006F4F14"/>
    <w:rsid w:val="006F7BFB"/>
    <w:rsid w:val="0070016C"/>
    <w:rsid w:val="00705699"/>
    <w:rsid w:val="00705FB4"/>
    <w:rsid w:val="00707388"/>
    <w:rsid w:val="00710DF6"/>
    <w:rsid w:val="00710E39"/>
    <w:rsid w:val="00711070"/>
    <w:rsid w:val="0072478F"/>
    <w:rsid w:val="00725CDF"/>
    <w:rsid w:val="007360B7"/>
    <w:rsid w:val="00737EEE"/>
    <w:rsid w:val="007436EC"/>
    <w:rsid w:val="00745647"/>
    <w:rsid w:val="0077099E"/>
    <w:rsid w:val="00771D13"/>
    <w:rsid w:val="007800C3"/>
    <w:rsid w:val="0078501D"/>
    <w:rsid w:val="00790EB1"/>
    <w:rsid w:val="007B5BB6"/>
    <w:rsid w:val="007B6127"/>
    <w:rsid w:val="007C3699"/>
    <w:rsid w:val="007C5C0A"/>
    <w:rsid w:val="007D040E"/>
    <w:rsid w:val="007D7AAF"/>
    <w:rsid w:val="007E3588"/>
    <w:rsid w:val="00804B33"/>
    <w:rsid w:val="00804C56"/>
    <w:rsid w:val="008051BD"/>
    <w:rsid w:val="0081107A"/>
    <w:rsid w:val="0081651D"/>
    <w:rsid w:val="00832534"/>
    <w:rsid w:val="00836303"/>
    <w:rsid w:val="00841BE2"/>
    <w:rsid w:val="00847F54"/>
    <w:rsid w:val="008651BE"/>
    <w:rsid w:val="00874413"/>
    <w:rsid w:val="00874957"/>
    <w:rsid w:val="00875960"/>
    <w:rsid w:val="00887328"/>
    <w:rsid w:val="00893956"/>
    <w:rsid w:val="00897119"/>
    <w:rsid w:val="008A0A5C"/>
    <w:rsid w:val="008A1FFC"/>
    <w:rsid w:val="008D15CF"/>
    <w:rsid w:val="008D30DF"/>
    <w:rsid w:val="008D6A71"/>
    <w:rsid w:val="008E0B6D"/>
    <w:rsid w:val="008E3A29"/>
    <w:rsid w:val="008E433F"/>
    <w:rsid w:val="008E5A53"/>
    <w:rsid w:val="008F3669"/>
    <w:rsid w:val="008F4FD6"/>
    <w:rsid w:val="008F5EBC"/>
    <w:rsid w:val="00910377"/>
    <w:rsid w:val="00913DE0"/>
    <w:rsid w:val="00914A7F"/>
    <w:rsid w:val="00922AE5"/>
    <w:rsid w:val="0092365D"/>
    <w:rsid w:val="00927E44"/>
    <w:rsid w:val="00935D86"/>
    <w:rsid w:val="009504A0"/>
    <w:rsid w:val="00950928"/>
    <w:rsid w:val="00950B3E"/>
    <w:rsid w:val="00950D18"/>
    <w:rsid w:val="009518D4"/>
    <w:rsid w:val="00951B59"/>
    <w:rsid w:val="00954975"/>
    <w:rsid w:val="00962B9D"/>
    <w:rsid w:val="00964EEB"/>
    <w:rsid w:val="009863B1"/>
    <w:rsid w:val="0099048A"/>
    <w:rsid w:val="009905FD"/>
    <w:rsid w:val="009A295F"/>
    <w:rsid w:val="009A70F4"/>
    <w:rsid w:val="009D3F9F"/>
    <w:rsid w:val="009D7F6A"/>
    <w:rsid w:val="009E0A43"/>
    <w:rsid w:val="009E0AF1"/>
    <w:rsid w:val="00A15A97"/>
    <w:rsid w:val="00A20A11"/>
    <w:rsid w:val="00A21AAB"/>
    <w:rsid w:val="00A21CBA"/>
    <w:rsid w:val="00A257A0"/>
    <w:rsid w:val="00A30B82"/>
    <w:rsid w:val="00A376CD"/>
    <w:rsid w:val="00A409B8"/>
    <w:rsid w:val="00A50BCA"/>
    <w:rsid w:val="00A932B3"/>
    <w:rsid w:val="00A94D25"/>
    <w:rsid w:val="00AA107C"/>
    <w:rsid w:val="00AA15BD"/>
    <w:rsid w:val="00AA6074"/>
    <w:rsid w:val="00AB7A00"/>
    <w:rsid w:val="00AC7B80"/>
    <w:rsid w:val="00AD3FBB"/>
    <w:rsid w:val="00AD7BEF"/>
    <w:rsid w:val="00AE6659"/>
    <w:rsid w:val="00B077B8"/>
    <w:rsid w:val="00B11232"/>
    <w:rsid w:val="00B142D0"/>
    <w:rsid w:val="00B31756"/>
    <w:rsid w:val="00B31DE8"/>
    <w:rsid w:val="00B32F32"/>
    <w:rsid w:val="00B34027"/>
    <w:rsid w:val="00B343C3"/>
    <w:rsid w:val="00B368F4"/>
    <w:rsid w:val="00B42168"/>
    <w:rsid w:val="00B4385F"/>
    <w:rsid w:val="00B43C65"/>
    <w:rsid w:val="00B524A9"/>
    <w:rsid w:val="00B53D7F"/>
    <w:rsid w:val="00B54179"/>
    <w:rsid w:val="00B637A6"/>
    <w:rsid w:val="00B7464C"/>
    <w:rsid w:val="00B76181"/>
    <w:rsid w:val="00B82100"/>
    <w:rsid w:val="00B86E56"/>
    <w:rsid w:val="00BB0AC7"/>
    <w:rsid w:val="00BB1100"/>
    <w:rsid w:val="00BB1111"/>
    <w:rsid w:val="00BD7354"/>
    <w:rsid w:val="00BE32B9"/>
    <w:rsid w:val="00BE4B62"/>
    <w:rsid w:val="00BF1F70"/>
    <w:rsid w:val="00C14BAD"/>
    <w:rsid w:val="00C17C7C"/>
    <w:rsid w:val="00C20516"/>
    <w:rsid w:val="00C27C1A"/>
    <w:rsid w:val="00C47217"/>
    <w:rsid w:val="00C51138"/>
    <w:rsid w:val="00C534D9"/>
    <w:rsid w:val="00C53A26"/>
    <w:rsid w:val="00C56776"/>
    <w:rsid w:val="00C60C09"/>
    <w:rsid w:val="00C62FA5"/>
    <w:rsid w:val="00C644E6"/>
    <w:rsid w:val="00C646CD"/>
    <w:rsid w:val="00C64AF4"/>
    <w:rsid w:val="00C70CCA"/>
    <w:rsid w:val="00C7548F"/>
    <w:rsid w:val="00C851FC"/>
    <w:rsid w:val="00C878F5"/>
    <w:rsid w:val="00C9092F"/>
    <w:rsid w:val="00C94621"/>
    <w:rsid w:val="00CB39AA"/>
    <w:rsid w:val="00CC0290"/>
    <w:rsid w:val="00CC0612"/>
    <w:rsid w:val="00CE1022"/>
    <w:rsid w:val="00CE74E9"/>
    <w:rsid w:val="00CE7E75"/>
    <w:rsid w:val="00D02E5D"/>
    <w:rsid w:val="00D03286"/>
    <w:rsid w:val="00D0506B"/>
    <w:rsid w:val="00D2457A"/>
    <w:rsid w:val="00D24CEC"/>
    <w:rsid w:val="00D24F9B"/>
    <w:rsid w:val="00D34864"/>
    <w:rsid w:val="00D356BF"/>
    <w:rsid w:val="00D40DC4"/>
    <w:rsid w:val="00D505FD"/>
    <w:rsid w:val="00D50DA8"/>
    <w:rsid w:val="00D62FD9"/>
    <w:rsid w:val="00D64FAB"/>
    <w:rsid w:val="00D72F53"/>
    <w:rsid w:val="00D8778C"/>
    <w:rsid w:val="00D90D7F"/>
    <w:rsid w:val="00D9249E"/>
    <w:rsid w:val="00D94959"/>
    <w:rsid w:val="00D957E5"/>
    <w:rsid w:val="00DA2645"/>
    <w:rsid w:val="00DB5859"/>
    <w:rsid w:val="00DB68D5"/>
    <w:rsid w:val="00DC3265"/>
    <w:rsid w:val="00DC4EEF"/>
    <w:rsid w:val="00DC7069"/>
    <w:rsid w:val="00DD33B6"/>
    <w:rsid w:val="00DF0D53"/>
    <w:rsid w:val="00E0011E"/>
    <w:rsid w:val="00E021DE"/>
    <w:rsid w:val="00E02618"/>
    <w:rsid w:val="00E10717"/>
    <w:rsid w:val="00E11BA5"/>
    <w:rsid w:val="00E12BFB"/>
    <w:rsid w:val="00E2321A"/>
    <w:rsid w:val="00E3606C"/>
    <w:rsid w:val="00E4176C"/>
    <w:rsid w:val="00E43A39"/>
    <w:rsid w:val="00E47D68"/>
    <w:rsid w:val="00E47F00"/>
    <w:rsid w:val="00E52051"/>
    <w:rsid w:val="00E52B03"/>
    <w:rsid w:val="00E56B9E"/>
    <w:rsid w:val="00E6471D"/>
    <w:rsid w:val="00E65A2B"/>
    <w:rsid w:val="00E70BA1"/>
    <w:rsid w:val="00E72CC2"/>
    <w:rsid w:val="00E75760"/>
    <w:rsid w:val="00E81371"/>
    <w:rsid w:val="00E8254D"/>
    <w:rsid w:val="00E830D4"/>
    <w:rsid w:val="00E8384B"/>
    <w:rsid w:val="00E848B0"/>
    <w:rsid w:val="00E9199E"/>
    <w:rsid w:val="00E94BA0"/>
    <w:rsid w:val="00EA2CA4"/>
    <w:rsid w:val="00EA627C"/>
    <w:rsid w:val="00EA6C31"/>
    <w:rsid w:val="00EB392B"/>
    <w:rsid w:val="00EB4E90"/>
    <w:rsid w:val="00EB7BAA"/>
    <w:rsid w:val="00EC2DF0"/>
    <w:rsid w:val="00ED1F0B"/>
    <w:rsid w:val="00EE66AA"/>
    <w:rsid w:val="00F031D7"/>
    <w:rsid w:val="00F0422E"/>
    <w:rsid w:val="00F157D9"/>
    <w:rsid w:val="00F21737"/>
    <w:rsid w:val="00F25E1B"/>
    <w:rsid w:val="00F4713C"/>
    <w:rsid w:val="00F47516"/>
    <w:rsid w:val="00F50F78"/>
    <w:rsid w:val="00F51DE8"/>
    <w:rsid w:val="00F6206B"/>
    <w:rsid w:val="00F752DC"/>
    <w:rsid w:val="00F80F12"/>
    <w:rsid w:val="00F82DB3"/>
    <w:rsid w:val="00F91F8D"/>
    <w:rsid w:val="00F93A7D"/>
    <w:rsid w:val="00F97FDD"/>
    <w:rsid w:val="00FA714B"/>
    <w:rsid w:val="00FB2F13"/>
    <w:rsid w:val="00FB33D5"/>
    <w:rsid w:val="00FB41C9"/>
    <w:rsid w:val="00FB69A9"/>
    <w:rsid w:val="00FB6F23"/>
    <w:rsid w:val="00FB7CC0"/>
    <w:rsid w:val="00FC0E23"/>
    <w:rsid w:val="00FE5DFD"/>
    <w:rsid w:val="00FF1E66"/>
    <w:rsid w:val="00FF3F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4AB"/>
    <w:pPr>
      <w:spacing w:after="160" w:line="259" w:lineRule="auto"/>
    </w:pPr>
    <w:rPr>
      <w:lang w:val="en-US"/>
    </w:rPr>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5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uiPriority w:val="99"/>
    <w:rsid w:val="00C851FC"/>
    <w:pPr>
      <w:spacing w:before="120" w:after="0" w:line="240" w:lineRule="auto"/>
      <w:ind w:left="1440"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3E14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E14AB"/>
    <w:rPr>
      <w:rFonts w:eastAsiaTheme="minorEastAsia"/>
      <w:lang w:val="en-US"/>
    </w:rPr>
  </w:style>
  <w:style w:type="paragraph" w:styleId="NormalWeb">
    <w:name w:val="Normal (Web)"/>
    <w:basedOn w:val="Normal"/>
    <w:uiPriority w:val="99"/>
    <w:unhideWhenUsed/>
    <w:rsid w:val="003E14AB"/>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E14AB"/>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3E14AB"/>
    <w:rPr>
      <w:rFonts w:ascii="Tahoma" w:eastAsiaTheme="minorEastAsia" w:hAnsi="Tahoma" w:cs="Tahoma"/>
      <w:sz w:val="16"/>
      <w:szCs w:val="16"/>
      <w:lang w:eastAsia="en-PH"/>
    </w:rPr>
  </w:style>
  <w:style w:type="paragraph" w:styleId="Revision">
    <w:name w:val="Revision"/>
    <w:hidden/>
    <w:uiPriority w:val="99"/>
    <w:semiHidden/>
    <w:rsid w:val="003E14AB"/>
    <w:pPr>
      <w:spacing w:after="0" w:line="240" w:lineRule="auto"/>
    </w:pPr>
    <w:rPr>
      <w:rFonts w:eastAsiaTheme="minorEastAsia"/>
      <w:lang w:eastAsia="en-PH"/>
    </w:rPr>
  </w:style>
  <w:style w:type="table" w:customStyle="1" w:styleId="GridTable1Light">
    <w:name w:val="Grid Table 1 Light"/>
    <w:basedOn w:val="TableNormal"/>
    <w:uiPriority w:val="46"/>
    <w:rsid w:val="003E14AB"/>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3E14AB"/>
  </w:style>
  <w:style w:type="character" w:styleId="Hyperlink">
    <w:name w:val="Hyperlink"/>
    <w:basedOn w:val="DefaultParagraphFont"/>
    <w:uiPriority w:val="99"/>
    <w:unhideWhenUsed/>
    <w:rsid w:val="003E14AB"/>
    <w:rPr>
      <w:color w:val="0000FF" w:themeColor="hyperlink"/>
      <w:u w:val="single"/>
    </w:rPr>
  </w:style>
  <w:style w:type="character" w:styleId="Strong">
    <w:name w:val="Strong"/>
    <w:basedOn w:val="DefaultParagraphFont"/>
    <w:uiPriority w:val="22"/>
    <w:qFormat/>
    <w:rsid w:val="003E14AB"/>
    <w:rPr>
      <w:b/>
      <w:bCs/>
    </w:rPr>
  </w:style>
  <w:style w:type="table" w:customStyle="1" w:styleId="TableGrid1">
    <w:name w:val="Table Grid1"/>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14AB"/>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3">
    <w:name w:val="Body Text Indent 3"/>
    <w:basedOn w:val="Normal"/>
    <w:link w:val="BodyTextIndent3Char"/>
    <w:rsid w:val="003E14A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E14AB"/>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98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26B2BB-1F2F-491F-9968-26A7870CD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Pages>
  <Words>1311</Words>
  <Characters>7476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Volume 2: Sectoral Studies</vt:lpstr>
    </vt:vector>
  </TitlesOfParts>
  <Company/>
  <LinksUpToDate>false</LinksUpToDate>
  <CharactersWithSpaces>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Sectoral Studies</dc:title>
  <dc:creator>samsung</dc:creator>
  <cp:lastModifiedBy>mpdcmangaldan2016</cp:lastModifiedBy>
  <cp:revision>26</cp:revision>
  <cp:lastPrinted>2017-01-11T03:24:00Z</cp:lastPrinted>
  <dcterms:created xsi:type="dcterms:W3CDTF">2016-08-16T23:35:00Z</dcterms:created>
  <dcterms:modified xsi:type="dcterms:W3CDTF">2017-04-25T02:19:00Z</dcterms:modified>
</cp:coreProperties>
</file>