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504" w:rsidRPr="00264938" w:rsidRDefault="00321504" w:rsidP="00264938">
      <w:pPr>
        <w:ind w:left="720" w:firstLine="720"/>
        <w:jc w:val="both"/>
        <w:rPr>
          <w:rFonts w:ascii="Times New Roman" w:eastAsia="Batang" w:hAnsi="Times New Roman" w:cs="Times New Roman"/>
          <w:sz w:val="24"/>
          <w:szCs w:val="24"/>
        </w:rPr>
      </w:pPr>
      <w:r w:rsidRPr="00264938">
        <w:rPr>
          <w:rFonts w:ascii="Times New Roman" w:eastAsia="Batang" w:hAnsi="Times New Roman" w:cs="Times New Roman"/>
          <w:b/>
          <w:i/>
          <w:sz w:val="24"/>
          <w:szCs w:val="24"/>
        </w:rPr>
        <w:t>HOUSING</w:t>
      </w:r>
    </w:p>
    <w:p w:rsidR="00321504" w:rsidRPr="007D040E" w:rsidRDefault="00321504" w:rsidP="00321504">
      <w:pPr>
        <w:ind w:left="1080" w:firstLine="360"/>
        <w:jc w:val="both"/>
        <w:rPr>
          <w:rFonts w:ascii="Times New Roman" w:eastAsia="Batang" w:hAnsi="Times New Roman" w:cs="Times New Roman"/>
          <w:b/>
          <w:i/>
          <w:sz w:val="24"/>
          <w:szCs w:val="24"/>
        </w:rPr>
      </w:pPr>
      <w:r w:rsidRPr="007D040E">
        <w:rPr>
          <w:rFonts w:ascii="Times New Roman" w:eastAsia="Batang" w:hAnsi="Times New Roman" w:cs="Times New Roman"/>
          <w:b/>
          <w:i/>
          <w:sz w:val="24"/>
          <w:szCs w:val="24"/>
        </w:rPr>
        <w:t>Situational Analysis</w:t>
      </w:r>
    </w:p>
    <w:p w:rsidR="00321504" w:rsidRPr="007D040E" w:rsidRDefault="00321504" w:rsidP="00321504">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Living in satisfactory housing conditions is one of the most important aspects of people’s lives.  Housing should offer a place to sleep and rest where people feel safe</w:t>
      </w:r>
      <w:r>
        <w:rPr>
          <w:rFonts w:ascii="Times New Roman" w:eastAsia="Batang" w:hAnsi="Times New Roman" w:cs="Times New Roman"/>
          <w:sz w:val="24"/>
          <w:szCs w:val="24"/>
        </w:rPr>
        <w:t>,</w:t>
      </w:r>
      <w:r w:rsidRPr="007D040E">
        <w:rPr>
          <w:rFonts w:ascii="Times New Roman" w:eastAsia="Batang" w:hAnsi="Times New Roman" w:cs="Times New Roman"/>
          <w:sz w:val="24"/>
          <w:szCs w:val="24"/>
        </w:rPr>
        <w:t xml:space="preserve"> have privacy and personal space; somewhere they can raise a family.  All of these elements help make a house a home</w:t>
      </w:r>
      <w:r>
        <w:rPr>
          <w:rFonts w:ascii="Times New Roman" w:eastAsia="Batang" w:hAnsi="Times New Roman" w:cs="Times New Roman"/>
          <w:sz w:val="24"/>
          <w:szCs w:val="24"/>
        </w:rPr>
        <w:t xml:space="preserve">. </w:t>
      </w:r>
      <w:r w:rsidRPr="007D040E">
        <w:rPr>
          <w:rFonts w:ascii="Times New Roman" w:eastAsia="Batang" w:hAnsi="Times New Roman" w:cs="Times New Roman"/>
          <w:sz w:val="24"/>
          <w:szCs w:val="24"/>
        </w:rPr>
        <w:t xml:space="preserve"> Housing is essential to meet basic needs, such as shelter, but it is not just a qu</w:t>
      </w:r>
      <w:r>
        <w:rPr>
          <w:rFonts w:ascii="Times New Roman" w:eastAsia="Batang" w:hAnsi="Times New Roman" w:cs="Times New Roman"/>
          <w:sz w:val="24"/>
          <w:szCs w:val="24"/>
        </w:rPr>
        <w:t xml:space="preserve">estion of four walls and a roof, it is </w:t>
      </w:r>
      <w:r w:rsidRPr="007D040E">
        <w:rPr>
          <w:rFonts w:ascii="Times New Roman" w:eastAsia="Batang" w:hAnsi="Times New Roman" w:cs="Times New Roman"/>
          <w:sz w:val="24"/>
          <w:szCs w:val="24"/>
        </w:rPr>
        <w:t>a question whether people can afford adequate housing</w:t>
      </w:r>
    </w:p>
    <w:p w:rsidR="00321504" w:rsidRPr="007D040E" w:rsidRDefault="00321504" w:rsidP="00321504">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Within the context of human security, there is a case to be made for the centrality of housing because of the greatest resistance of its acceptance as a contemporary threat- in both security and development.</w:t>
      </w:r>
    </w:p>
    <w:p w:rsidR="00321504" w:rsidRDefault="00321504" w:rsidP="00321504">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The lack of adequate housing not only compromises development, but eventually also constitutes a security threat from countless social ills that arise from homelessness which is therefore worsening to the prospects for sustainable livelihood.  The lack of access to adequate housing exposes one to the structural violence of poverty, its severity and associated complexities of despair and deprivation relative of absolute which constitute a significant threat to human security.</w:t>
      </w:r>
    </w:p>
    <w:p w:rsidR="00321504" w:rsidRPr="00B34027" w:rsidRDefault="00321504" w:rsidP="00321504">
      <w:pPr>
        <w:spacing w:after="0" w:line="276" w:lineRule="auto"/>
        <w:ind w:left="360" w:firstLine="720"/>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41: </w:t>
      </w:r>
      <w:r w:rsidRPr="00B34027">
        <w:rPr>
          <w:rFonts w:ascii="Times New Roman" w:eastAsia="Batang" w:hAnsi="Times New Roman" w:cs="Times New Roman"/>
          <w:b/>
          <w:sz w:val="24"/>
          <w:szCs w:val="24"/>
        </w:rPr>
        <w:t xml:space="preserve">Housing Situation for the Last Three </w:t>
      </w:r>
      <w:proofErr w:type="spellStart"/>
      <w:r w:rsidRPr="00B34027">
        <w:rPr>
          <w:rFonts w:ascii="Times New Roman" w:eastAsia="Batang" w:hAnsi="Times New Roman" w:cs="Times New Roman"/>
          <w:b/>
          <w:sz w:val="24"/>
          <w:szCs w:val="24"/>
        </w:rPr>
        <w:t>Censal</w:t>
      </w:r>
      <w:proofErr w:type="spellEnd"/>
      <w:r w:rsidRPr="00B34027">
        <w:rPr>
          <w:rFonts w:ascii="Times New Roman" w:eastAsia="Batang" w:hAnsi="Times New Roman" w:cs="Times New Roman"/>
          <w:b/>
          <w:sz w:val="24"/>
          <w:szCs w:val="24"/>
        </w:rPr>
        <w:t xml:space="preserve"> Years</w:t>
      </w:r>
    </w:p>
    <w:tbl>
      <w:tblPr>
        <w:tblStyle w:val="TableGrid1"/>
        <w:tblW w:w="9050" w:type="dxa"/>
        <w:tblInd w:w="1278" w:type="dxa"/>
        <w:tblLayout w:type="fixed"/>
        <w:tblLook w:val="04A0" w:firstRow="1" w:lastRow="0" w:firstColumn="1" w:lastColumn="0" w:noHBand="0" w:noVBand="1"/>
      </w:tblPr>
      <w:tblGrid>
        <w:gridCol w:w="1807"/>
        <w:gridCol w:w="959"/>
        <w:gridCol w:w="1017"/>
        <w:gridCol w:w="1123"/>
        <w:gridCol w:w="890"/>
        <w:gridCol w:w="1123"/>
        <w:gridCol w:w="1008"/>
        <w:gridCol w:w="1123"/>
      </w:tblGrid>
      <w:tr w:rsidR="00321504" w:rsidRPr="007D040E" w:rsidTr="00321504">
        <w:trPr>
          <w:trHeight w:val="404"/>
        </w:trPr>
        <w:tc>
          <w:tcPr>
            <w:tcW w:w="1807" w:type="dxa"/>
            <w:vMerge w:val="restart"/>
          </w:tcPr>
          <w:p w:rsidR="00321504" w:rsidRPr="007D040E" w:rsidRDefault="00321504" w:rsidP="00B66822">
            <w:pPr>
              <w:spacing w:after="0" w:line="240" w:lineRule="auto"/>
              <w:contextualSpacing/>
              <w:jc w:val="center"/>
              <w:rPr>
                <w:rFonts w:ascii="Times New Roman" w:eastAsia="Batang" w:hAnsi="Times New Roman" w:cs="Times New Roman"/>
                <w:sz w:val="24"/>
                <w:szCs w:val="24"/>
              </w:rPr>
            </w:pPr>
          </w:p>
        </w:tc>
        <w:tc>
          <w:tcPr>
            <w:tcW w:w="959" w:type="dxa"/>
            <w:vMerge w:val="restart"/>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Year 2000</w:t>
            </w:r>
          </w:p>
        </w:tc>
        <w:tc>
          <w:tcPr>
            <w:tcW w:w="2140" w:type="dxa"/>
            <w:gridSpan w:val="2"/>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Year 2007</w:t>
            </w:r>
          </w:p>
        </w:tc>
        <w:tc>
          <w:tcPr>
            <w:tcW w:w="2013" w:type="dxa"/>
            <w:gridSpan w:val="2"/>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Year 2010</w:t>
            </w:r>
          </w:p>
        </w:tc>
        <w:tc>
          <w:tcPr>
            <w:tcW w:w="2131" w:type="dxa"/>
            <w:gridSpan w:val="2"/>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Year 2015</w:t>
            </w:r>
          </w:p>
        </w:tc>
      </w:tr>
      <w:tr w:rsidR="00321504" w:rsidRPr="007D040E" w:rsidTr="00321504">
        <w:tc>
          <w:tcPr>
            <w:tcW w:w="1807" w:type="dxa"/>
            <w:vMerge/>
          </w:tcPr>
          <w:p w:rsidR="00321504" w:rsidRPr="007D040E" w:rsidRDefault="00321504" w:rsidP="00B66822">
            <w:pPr>
              <w:spacing w:after="0" w:line="240" w:lineRule="auto"/>
              <w:contextualSpacing/>
              <w:jc w:val="center"/>
              <w:rPr>
                <w:rFonts w:ascii="Times New Roman" w:eastAsia="Batang" w:hAnsi="Times New Roman" w:cs="Times New Roman"/>
                <w:sz w:val="24"/>
                <w:szCs w:val="24"/>
              </w:rPr>
            </w:pPr>
          </w:p>
        </w:tc>
        <w:tc>
          <w:tcPr>
            <w:tcW w:w="959" w:type="dxa"/>
            <w:vMerge/>
          </w:tcPr>
          <w:p w:rsidR="00321504" w:rsidRPr="00351C6B" w:rsidRDefault="00321504" w:rsidP="00B66822">
            <w:pPr>
              <w:spacing w:after="0" w:line="240" w:lineRule="auto"/>
              <w:contextualSpacing/>
              <w:jc w:val="center"/>
              <w:rPr>
                <w:rFonts w:ascii="Times New Roman" w:eastAsia="Batang" w:hAnsi="Times New Roman" w:cs="Times New Roman"/>
                <w:sz w:val="23"/>
                <w:szCs w:val="23"/>
              </w:rPr>
            </w:pP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No.</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Pr>
                <w:rFonts w:ascii="Times New Roman" w:eastAsia="Batang" w:hAnsi="Times New Roman" w:cs="Times New Roman"/>
                <w:b/>
                <w:sz w:val="23"/>
                <w:szCs w:val="23"/>
              </w:rPr>
              <w:t>% Increase/ D</w:t>
            </w:r>
            <w:r w:rsidRPr="00351C6B">
              <w:rPr>
                <w:rFonts w:ascii="Times New Roman" w:eastAsia="Batang" w:hAnsi="Times New Roman" w:cs="Times New Roman"/>
                <w:b/>
                <w:sz w:val="23"/>
                <w:szCs w:val="23"/>
              </w:rPr>
              <w:t>ecrease</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No.</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 Increase/ Decrease</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sidRPr="00351C6B">
              <w:rPr>
                <w:rFonts w:ascii="Times New Roman" w:eastAsia="Batang" w:hAnsi="Times New Roman" w:cs="Times New Roman"/>
                <w:b/>
                <w:sz w:val="23"/>
                <w:szCs w:val="23"/>
              </w:rPr>
              <w:t>No.</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b/>
                <w:sz w:val="23"/>
                <w:szCs w:val="23"/>
              </w:rPr>
            </w:pPr>
            <w:r>
              <w:rPr>
                <w:rFonts w:ascii="Times New Roman" w:eastAsia="Batang" w:hAnsi="Times New Roman" w:cs="Times New Roman"/>
                <w:b/>
                <w:sz w:val="23"/>
                <w:szCs w:val="23"/>
              </w:rPr>
              <w:t>% Increase/ D</w:t>
            </w:r>
            <w:r w:rsidRPr="00351C6B">
              <w:rPr>
                <w:rFonts w:ascii="Times New Roman" w:eastAsia="Batang" w:hAnsi="Times New Roman" w:cs="Times New Roman"/>
                <w:b/>
                <w:sz w:val="23"/>
                <w:szCs w:val="23"/>
              </w:rPr>
              <w:t>ecrease</w:t>
            </w: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Households</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14,719</w:t>
            </w: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16</w:t>
            </w:r>
            <w:r>
              <w:rPr>
                <w:rFonts w:ascii="Times New Roman" w:eastAsia="Batang" w:hAnsi="Times New Roman" w:cs="Times New Roman"/>
                <w:sz w:val="24"/>
                <w:szCs w:val="24"/>
              </w:rPr>
              <w:t>,</w:t>
            </w:r>
            <w:r w:rsidRPr="00351C6B">
              <w:rPr>
                <w:rFonts w:ascii="Times New Roman" w:eastAsia="Batang" w:hAnsi="Times New Roman" w:cs="Times New Roman"/>
                <w:sz w:val="24"/>
                <w:szCs w:val="24"/>
              </w:rPr>
              <w:t>199</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10.06%</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16,644</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2.75%</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19,506</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17.20 %</w:t>
            </w: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Household Population</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82,132</w:t>
            </w: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90,391</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10.06%</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98,905</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9.50%</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106,331</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7.51%</w:t>
            </w: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Housing Units</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Occupied HU</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15,404</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16,307</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5.86</w:t>
            </w: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Vacant HU</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Ratio of HH to Occupied HU</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0.93</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0.84</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w:t>
            </w:r>
          </w:p>
        </w:tc>
      </w:tr>
      <w:tr w:rsidR="00321504" w:rsidRPr="007D040E" w:rsidTr="00321504">
        <w:tc>
          <w:tcPr>
            <w:tcW w:w="1807" w:type="dxa"/>
          </w:tcPr>
          <w:p w:rsidR="00321504" w:rsidRPr="007D040E" w:rsidRDefault="00321504" w:rsidP="00B66822">
            <w:pPr>
              <w:spacing w:after="0" w:line="240" w:lineRule="auto"/>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Ratio of HH Population to Occupied HU</w:t>
            </w:r>
          </w:p>
        </w:tc>
        <w:tc>
          <w:tcPr>
            <w:tcW w:w="959"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c>
          <w:tcPr>
            <w:tcW w:w="1017"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c>
          <w:tcPr>
            <w:tcW w:w="890"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0.16</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c>
          <w:tcPr>
            <w:tcW w:w="1008"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sidRPr="00351C6B">
              <w:rPr>
                <w:rFonts w:ascii="Times New Roman" w:eastAsia="Batang" w:hAnsi="Times New Roman" w:cs="Times New Roman"/>
                <w:sz w:val="24"/>
                <w:szCs w:val="24"/>
              </w:rPr>
              <w:t>0.15</w:t>
            </w:r>
          </w:p>
        </w:tc>
        <w:tc>
          <w:tcPr>
            <w:tcW w:w="1123" w:type="dxa"/>
            <w:vAlign w:val="center"/>
          </w:tcPr>
          <w:p w:rsidR="00321504" w:rsidRPr="00351C6B" w:rsidRDefault="00321504" w:rsidP="00B66822">
            <w:pPr>
              <w:spacing w:after="0" w:line="240" w:lineRule="auto"/>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bl>
    <w:p w:rsidR="00321504" w:rsidRPr="00BF1F70" w:rsidRDefault="00321504" w:rsidP="00321504">
      <w:pPr>
        <w:spacing w:after="0" w:line="276" w:lineRule="auto"/>
        <w:rPr>
          <w:rFonts w:ascii="Times New Roman" w:eastAsia="Batang" w:hAnsi="Times New Roman" w:cs="Times New Roman"/>
          <w:i/>
          <w:sz w:val="20"/>
          <w:szCs w:val="20"/>
        </w:rPr>
      </w:pPr>
      <w:r w:rsidRPr="007D040E">
        <w:rPr>
          <w:rFonts w:ascii="Times New Roman" w:eastAsia="Batang" w:hAnsi="Times New Roman" w:cs="Times New Roman"/>
          <w:sz w:val="24"/>
          <w:szCs w:val="24"/>
        </w:rPr>
        <w:t xml:space="preserve">      </w:t>
      </w:r>
      <w:r>
        <w:rPr>
          <w:rFonts w:ascii="Times New Roman" w:eastAsia="Batang" w:hAnsi="Times New Roman" w:cs="Times New Roman"/>
          <w:sz w:val="24"/>
          <w:szCs w:val="24"/>
        </w:rPr>
        <w:tab/>
      </w:r>
      <w:r>
        <w:rPr>
          <w:rFonts w:ascii="Times New Roman" w:eastAsia="Batang" w:hAnsi="Times New Roman" w:cs="Times New Roman"/>
          <w:sz w:val="24"/>
          <w:szCs w:val="24"/>
        </w:rPr>
        <w:tab/>
      </w:r>
      <w:r w:rsidRPr="00BF1F70">
        <w:rPr>
          <w:rFonts w:ascii="Times New Roman" w:eastAsia="Batang" w:hAnsi="Times New Roman" w:cs="Times New Roman"/>
          <w:i/>
          <w:sz w:val="20"/>
          <w:szCs w:val="20"/>
        </w:rPr>
        <w:t>S</w:t>
      </w:r>
      <w:r>
        <w:rPr>
          <w:rFonts w:ascii="Times New Roman" w:eastAsia="Batang" w:hAnsi="Times New Roman" w:cs="Times New Roman"/>
          <w:i/>
          <w:sz w:val="20"/>
          <w:szCs w:val="20"/>
        </w:rPr>
        <w:t xml:space="preserve">ource:  NSO Report 2000, 2007, </w:t>
      </w:r>
      <w:r w:rsidRPr="00BF1F70">
        <w:rPr>
          <w:rFonts w:ascii="Times New Roman" w:eastAsia="Batang" w:hAnsi="Times New Roman" w:cs="Times New Roman"/>
          <w:i/>
          <w:sz w:val="20"/>
          <w:szCs w:val="20"/>
        </w:rPr>
        <w:t>2010</w:t>
      </w:r>
      <w:r>
        <w:rPr>
          <w:rFonts w:ascii="Times New Roman" w:eastAsia="Batang" w:hAnsi="Times New Roman" w:cs="Times New Roman"/>
          <w:i/>
          <w:sz w:val="20"/>
          <w:szCs w:val="20"/>
        </w:rPr>
        <w:t xml:space="preserve"> &amp; 2015</w:t>
      </w:r>
    </w:p>
    <w:p w:rsidR="00321504" w:rsidRPr="001646C6" w:rsidRDefault="00321504" w:rsidP="00321504">
      <w:pPr>
        <w:ind w:left="720" w:firstLine="720"/>
        <w:jc w:val="both"/>
        <w:rPr>
          <w:rFonts w:ascii="Times New Roman" w:eastAsia="Batang" w:hAnsi="Times New Roman" w:cs="Times New Roman"/>
          <w:b/>
          <w:i/>
          <w:color w:val="000000" w:themeColor="text1"/>
          <w:sz w:val="24"/>
          <w:szCs w:val="24"/>
        </w:rPr>
      </w:pPr>
      <w:r w:rsidRPr="001646C6">
        <w:rPr>
          <w:rFonts w:ascii="Times New Roman" w:eastAsia="Batang" w:hAnsi="Times New Roman" w:cs="Times New Roman"/>
          <w:b/>
          <w:i/>
          <w:color w:val="000000" w:themeColor="text1"/>
          <w:sz w:val="24"/>
          <w:szCs w:val="24"/>
        </w:rPr>
        <w:t>Housing Backlog</w:t>
      </w: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 xml:space="preserve">The 2010 census shows that there are a total of 337 housing backlog due to doubled-up households. </w:t>
      </w:r>
    </w:p>
    <w:p w:rsidR="00FC21BF" w:rsidRDefault="00FC21BF"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FC21BF" w:rsidRDefault="00FC21BF"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FC21BF" w:rsidRDefault="00FC21BF"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FC21BF" w:rsidRDefault="00FC21BF"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Pr="0081107A" w:rsidRDefault="00321504" w:rsidP="00321504">
      <w:pPr>
        <w:spacing w:after="0" w:line="240" w:lineRule="auto"/>
        <w:ind w:left="72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2880"/>
        <w:contextualSpacing/>
        <w:jc w:val="both"/>
        <w:rPr>
          <w:rFonts w:ascii="Times New Roman" w:eastAsia="Batang" w:hAnsi="Times New Roman" w:cs="Times New Roman"/>
          <w:color w:val="000000" w:themeColor="text1"/>
          <w:sz w:val="24"/>
          <w:szCs w:val="24"/>
        </w:rPr>
      </w:pPr>
    </w:p>
    <w:p w:rsidR="00321504" w:rsidRPr="0081107A" w:rsidRDefault="00321504" w:rsidP="00321504">
      <w:pPr>
        <w:spacing w:after="0" w:line="240" w:lineRule="auto"/>
        <w:ind w:left="1440" w:firstLine="720"/>
        <w:contextualSpacing/>
        <w:jc w:val="both"/>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 xml:space="preserve">   </w:t>
      </w:r>
      <w:r w:rsidRPr="0081107A">
        <w:rPr>
          <w:rFonts w:ascii="Times New Roman" w:eastAsia="Batang" w:hAnsi="Times New Roman" w:cs="Times New Roman"/>
          <w:b/>
          <w:color w:val="000000" w:themeColor="text1"/>
          <w:sz w:val="24"/>
          <w:szCs w:val="24"/>
        </w:rPr>
        <w:t>Table 4</w:t>
      </w:r>
      <w:r>
        <w:rPr>
          <w:rFonts w:ascii="Times New Roman" w:eastAsia="Batang" w:hAnsi="Times New Roman" w:cs="Times New Roman"/>
          <w:b/>
          <w:color w:val="000000" w:themeColor="text1"/>
          <w:sz w:val="24"/>
          <w:szCs w:val="24"/>
        </w:rPr>
        <w:t>2: Housing Backlog Due to Doubled-Up H</w:t>
      </w:r>
      <w:r w:rsidRPr="0081107A">
        <w:rPr>
          <w:rFonts w:ascii="Times New Roman" w:eastAsia="Batang" w:hAnsi="Times New Roman" w:cs="Times New Roman"/>
          <w:b/>
          <w:color w:val="000000" w:themeColor="text1"/>
          <w:sz w:val="24"/>
          <w:szCs w:val="24"/>
        </w:rPr>
        <w:t xml:space="preserve">ouseholds </w:t>
      </w:r>
    </w:p>
    <w:tbl>
      <w:tblPr>
        <w:tblStyle w:val="TableGrid"/>
        <w:tblW w:w="7244" w:type="dxa"/>
        <w:tblInd w:w="1908" w:type="dxa"/>
        <w:tblLook w:val="04A0" w:firstRow="1" w:lastRow="0" w:firstColumn="1" w:lastColumn="0" w:noHBand="0" w:noVBand="1"/>
      </w:tblPr>
      <w:tblGrid>
        <w:gridCol w:w="1539"/>
        <w:gridCol w:w="1745"/>
        <w:gridCol w:w="1710"/>
        <w:gridCol w:w="2250"/>
      </w:tblGrid>
      <w:tr w:rsidR="00321504" w:rsidRPr="0081107A" w:rsidTr="00B66822">
        <w:tc>
          <w:tcPr>
            <w:tcW w:w="1539"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sidRPr="0081107A">
              <w:rPr>
                <w:rFonts w:ascii="Times New Roman" w:eastAsia="Batang" w:hAnsi="Times New Roman" w:cs="Times New Roman"/>
                <w:color w:val="000000" w:themeColor="text1"/>
                <w:sz w:val="24"/>
                <w:szCs w:val="24"/>
              </w:rPr>
              <w:t>Censal</w:t>
            </w:r>
            <w:proofErr w:type="spellEnd"/>
            <w:r w:rsidRPr="0081107A">
              <w:rPr>
                <w:rFonts w:ascii="Times New Roman" w:eastAsia="Batang" w:hAnsi="Times New Roman" w:cs="Times New Roman"/>
                <w:color w:val="000000" w:themeColor="text1"/>
                <w:sz w:val="24"/>
                <w:szCs w:val="24"/>
              </w:rPr>
              <w:t xml:space="preserve"> Year</w:t>
            </w:r>
          </w:p>
        </w:tc>
        <w:tc>
          <w:tcPr>
            <w:tcW w:w="1745"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Number of Households</w:t>
            </w:r>
          </w:p>
        </w:tc>
        <w:tc>
          <w:tcPr>
            <w:tcW w:w="1710"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Number of Housing Units</w:t>
            </w:r>
          </w:p>
        </w:tc>
        <w:tc>
          <w:tcPr>
            <w:tcW w:w="2250"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Housing Backlog (Doubled-Up Households)</w:t>
            </w:r>
          </w:p>
        </w:tc>
      </w:tr>
      <w:tr w:rsidR="00321504" w:rsidRPr="0081107A" w:rsidTr="00B66822">
        <w:tc>
          <w:tcPr>
            <w:tcW w:w="1539"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2000</w:t>
            </w:r>
          </w:p>
        </w:tc>
        <w:tc>
          <w:tcPr>
            <w:tcW w:w="1745"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14,719</w:t>
            </w:r>
          </w:p>
        </w:tc>
        <w:tc>
          <w:tcPr>
            <w:tcW w:w="1710"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2250"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321504" w:rsidRPr="0081107A" w:rsidTr="00B66822">
        <w:tc>
          <w:tcPr>
            <w:tcW w:w="1539"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2007</w:t>
            </w:r>
          </w:p>
        </w:tc>
        <w:tc>
          <w:tcPr>
            <w:tcW w:w="1745"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16,199</w:t>
            </w:r>
          </w:p>
        </w:tc>
        <w:tc>
          <w:tcPr>
            <w:tcW w:w="1710"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15,404</w:t>
            </w:r>
          </w:p>
        </w:tc>
        <w:tc>
          <w:tcPr>
            <w:tcW w:w="2250"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795</w:t>
            </w:r>
          </w:p>
        </w:tc>
      </w:tr>
      <w:tr w:rsidR="00321504" w:rsidRPr="0081107A" w:rsidTr="00B66822">
        <w:tc>
          <w:tcPr>
            <w:tcW w:w="1539"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2010</w:t>
            </w:r>
          </w:p>
        </w:tc>
        <w:tc>
          <w:tcPr>
            <w:tcW w:w="1745"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16,644</w:t>
            </w:r>
          </w:p>
        </w:tc>
        <w:tc>
          <w:tcPr>
            <w:tcW w:w="1710"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16,307</w:t>
            </w:r>
          </w:p>
        </w:tc>
        <w:tc>
          <w:tcPr>
            <w:tcW w:w="2250" w:type="dxa"/>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337</w:t>
            </w:r>
          </w:p>
        </w:tc>
      </w:tr>
    </w:tbl>
    <w:p w:rsidR="00321504" w:rsidRDefault="00321504" w:rsidP="00321504">
      <w:pPr>
        <w:jc w:val="both"/>
        <w:rPr>
          <w:rFonts w:ascii="Times New Roman" w:eastAsia="Batang" w:hAnsi="Times New Roman" w:cs="Times New Roman"/>
          <w:i/>
          <w:color w:val="000000" w:themeColor="text1"/>
          <w:sz w:val="20"/>
          <w:szCs w:val="20"/>
        </w:rPr>
      </w:pPr>
      <w:r>
        <w:rPr>
          <w:rFonts w:ascii="Times New Roman" w:eastAsia="Batang" w:hAnsi="Times New Roman" w:cs="Times New Roman"/>
          <w:color w:val="000000" w:themeColor="text1"/>
          <w:sz w:val="24"/>
          <w:szCs w:val="24"/>
        </w:rPr>
        <w:tab/>
      </w:r>
      <w:r>
        <w:rPr>
          <w:rFonts w:ascii="Times New Roman" w:eastAsia="Batang" w:hAnsi="Times New Roman" w:cs="Times New Roman"/>
          <w:color w:val="000000" w:themeColor="text1"/>
          <w:sz w:val="24"/>
          <w:szCs w:val="24"/>
        </w:rPr>
        <w:tab/>
      </w:r>
      <w:r>
        <w:rPr>
          <w:rFonts w:ascii="Times New Roman" w:eastAsia="Batang" w:hAnsi="Times New Roman" w:cs="Times New Roman"/>
          <w:color w:val="000000" w:themeColor="text1"/>
          <w:sz w:val="24"/>
          <w:szCs w:val="24"/>
        </w:rPr>
        <w:tab/>
      </w:r>
      <w:r w:rsidRPr="0081107A">
        <w:rPr>
          <w:rFonts w:ascii="Times New Roman" w:eastAsia="Batang" w:hAnsi="Times New Roman" w:cs="Times New Roman"/>
          <w:i/>
          <w:color w:val="000000" w:themeColor="text1"/>
          <w:sz w:val="20"/>
          <w:szCs w:val="20"/>
        </w:rPr>
        <w:t>Source: MPT Computation</w:t>
      </w:r>
    </w:p>
    <w:p w:rsidR="00321504" w:rsidRPr="0081107A" w:rsidRDefault="00321504" w:rsidP="00321504">
      <w:pPr>
        <w:jc w:val="both"/>
        <w:rPr>
          <w:rFonts w:ascii="Times New Roman" w:eastAsia="Batang" w:hAnsi="Times New Roman" w:cs="Times New Roman"/>
          <w:i/>
          <w:color w:val="000000" w:themeColor="text1"/>
          <w:sz w:val="20"/>
          <w:szCs w:val="20"/>
        </w:rPr>
      </w:pPr>
    </w:p>
    <w:p w:rsidR="00321504" w:rsidRPr="005F1AA6" w:rsidRDefault="00321504" w:rsidP="00321504">
      <w:pPr>
        <w:spacing w:after="0" w:line="240" w:lineRule="auto"/>
        <w:ind w:left="2880"/>
        <w:contextualSpacing/>
        <w:jc w:val="both"/>
        <w:rPr>
          <w:rFonts w:ascii="Times New Roman" w:eastAsia="Batang" w:hAnsi="Times New Roman" w:cs="Times New Roman"/>
          <w:b/>
          <w:color w:val="000000" w:themeColor="text1"/>
          <w:sz w:val="24"/>
          <w:szCs w:val="24"/>
        </w:rPr>
      </w:pPr>
      <w:r w:rsidRPr="005F1AA6">
        <w:rPr>
          <w:rFonts w:ascii="Times New Roman" w:eastAsia="Batang" w:hAnsi="Times New Roman" w:cs="Times New Roman"/>
          <w:b/>
          <w:color w:val="000000" w:themeColor="text1"/>
          <w:sz w:val="24"/>
          <w:szCs w:val="24"/>
        </w:rPr>
        <w:t xml:space="preserve">   Table 4</w:t>
      </w:r>
      <w:r>
        <w:rPr>
          <w:rFonts w:ascii="Times New Roman" w:eastAsia="Batang" w:hAnsi="Times New Roman" w:cs="Times New Roman"/>
          <w:b/>
          <w:color w:val="000000" w:themeColor="text1"/>
          <w:sz w:val="24"/>
          <w:szCs w:val="24"/>
        </w:rPr>
        <w:t>3</w:t>
      </w:r>
      <w:r w:rsidRPr="005F1AA6">
        <w:rPr>
          <w:rFonts w:ascii="Times New Roman" w:eastAsia="Batang" w:hAnsi="Times New Roman" w:cs="Times New Roman"/>
          <w:b/>
          <w:color w:val="000000" w:themeColor="text1"/>
          <w:sz w:val="24"/>
          <w:szCs w:val="24"/>
        </w:rPr>
        <w:t>: Total Housing Backlog CY 2010</w:t>
      </w:r>
    </w:p>
    <w:tbl>
      <w:tblPr>
        <w:tblStyle w:val="TableGrid"/>
        <w:tblW w:w="0" w:type="auto"/>
        <w:tblInd w:w="1965" w:type="dxa"/>
        <w:tblLayout w:type="fixed"/>
        <w:tblLook w:val="04A0" w:firstRow="1" w:lastRow="0" w:firstColumn="1" w:lastColumn="0" w:noHBand="0" w:noVBand="1"/>
      </w:tblPr>
      <w:tblGrid>
        <w:gridCol w:w="3977"/>
        <w:gridCol w:w="1175"/>
        <w:gridCol w:w="1613"/>
      </w:tblGrid>
      <w:tr w:rsidR="00321504" w:rsidRPr="0081107A" w:rsidTr="00B66822">
        <w:trPr>
          <w:trHeight w:val="361"/>
        </w:trPr>
        <w:tc>
          <w:tcPr>
            <w:tcW w:w="3977" w:type="dxa"/>
            <w:vAlign w:val="center"/>
          </w:tcPr>
          <w:p w:rsidR="00321504" w:rsidRPr="00DD33B6"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DD33B6">
              <w:rPr>
                <w:rFonts w:ascii="Times New Roman" w:eastAsia="Batang" w:hAnsi="Times New Roman" w:cs="Times New Roman"/>
                <w:b/>
                <w:color w:val="000000" w:themeColor="text1"/>
                <w:sz w:val="24"/>
                <w:szCs w:val="24"/>
              </w:rPr>
              <w:t>Backlog</w:t>
            </w:r>
          </w:p>
        </w:tc>
        <w:tc>
          <w:tcPr>
            <w:tcW w:w="1175" w:type="dxa"/>
            <w:vAlign w:val="center"/>
          </w:tcPr>
          <w:p w:rsidR="00321504" w:rsidRPr="00DD33B6"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DD33B6">
              <w:rPr>
                <w:rFonts w:ascii="Times New Roman" w:eastAsia="Batang" w:hAnsi="Times New Roman" w:cs="Times New Roman"/>
                <w:b/>
                <w:color w:val="000000" w:themeColor="text1"/>
                <w:sz w:val="24"/>
                <w:szCs w:val="24"/>
              </w:rPr>
              <w:t>No</w:t>
            </w:r>
          </w:p>
        </w:tc>
        <w:tc>
          <w:tcPr>
            <w:tcW w:w="1613" w:type="dxa"/>
            <w:vAlign w:val="center"/>
          </w:tcPr>
          <w:p w:rsidR="00321504" w:rsidRPr="00DD33B6"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DD33B6">
              <w:rPr>
                <w:rFonts w:ascii="Times New Roman" w:eastAsia="Batang" w:hAnsi="Times New Roman" w:cs="Times New Roman"/>
                <w:b/>
                <w:color w:val="000000" w:themeColor="text1"/>
                <w:sz w:val="24"/>
                <w:szCs w:val="24"/>
              </w:rPr>
              <w:t>%</w:t>
            </w:r>
          </w:p>
        </w:tc>
      </w:tr>
      <w:tr w:rsidR="00321504" w:rsidRPr="0081107A" w:rsidTr="00B66822">
        <w:trPr>
          <w:trHeight w:val="432"/>
        </w:trPr>
        <w:tc>
          <w:tcPr>
            <w:tcW w:w="3977" w:type="dxa"/>
            <w:vAlign w:val="center"/>
          </w:tcPr>
          <w:p w:rsidR="00321504" w:rsidRPr="0081107A" w:rsidRDefault="00321504" w:rsidP="00B66822">
            <w:pPr>
              <w:spacing w:after="0" w:line="240" w:lineRule="auto"/>
              <w:contextualSpacing/>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Doubled-up Households</w:t>
            </w:r>
          </w:p>
        </w:tc>
        <w:tc>
          <w:tcPr>
            <w:tcW w:w="1175"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337</w:t>
            </w:r>
          </w:p>
        </w:tc>
        <w:tc>
          <w:tcPr>
            <w:tcW w:w="1613"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100%</w:t>
            </w:r>
          </w:p>
        </w:tc>
      </w:tr>
      <w:tr w:rsidR="00321504" w:rsidRPr="0081107A" w:rsidTr="00B66822">
        <w:trPr>
          <w:trHeight w:val="432"/>
        </w:trPr>
        <w:tc>
          <w:tcPr>
            <w:tcW w:w="3977" w:type="dxa"/>
            <w:vAlign w:val="center"/>
          </w:tcPr>
          <w:p w:rsidR="00321504" w:rsidRPr="0081107A" w:rsidRDefault="00321504" w:rsidP="00B66822">
            <w:pPr>
              <w:spacing w:after="0" w:line="240" w:lineRule="auto"/>
              <w:contextualSpacing/>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Unacceptable Housing Units</w:t>
            </w:r>
          </w:p>
        </w:tc>
        <w:tc>
          <w:tcPr>
            <w:tcW w:w="1175"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613"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321504" w:rsidRPr="0081107A" w:rsidTr="00B66822">
        <w:trPr>
          <w:trHeight w:val="432"/>
        </w:trPr>
        <w:tc>
          <w:tcPr>
            <w:tcW w:w="3977" w:type="dxa"/>
            <w:vAlign w:val="center"/>
          </w:tcPr>
          <w:p w:rsidR="00321504" w:rsidRPr="0081107A" w:rsidRDefault="00321504" w:rsidP="00B66822">
            <w:pPr>
              <w:spacing w:after="0" w:line="240" w:lineRule="auto"/>
              <w:contextualSpacing/>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Makeshift/ Salvaged/ Improvised HU</w:t>
            </w:r>
          </w:p>
        </w:tc>
        <w:tc>
          <w:tcPr>
            <w:tcW w:w="1175"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613"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321504" w:rsidRPr="0081107A" w:rsidTr="00B66822">
        <w:trPr>
          <w:trHeight w:val="432"/>
        </w:trPr>
        <w:tc>
          <w:tcPr>
            <w:tcW w:w="3977" w:type="dxa"/>
            <w:vAlign w:val="center"/>
          </w:tcPr>
          <w:p w:rsidR="00321504" w:rsidRPr="0081107A" w:rsidRDefault="00321504" w:rsidP="00B66822">
            <w:pPr>
              <w:spacing w:after="0" w:line="240" w:lineRule="auto"/>
              <w:contextualSpacing/>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Total Backlog</w:t>
            </w:r>
          </w:p>
        </w:tc>
        <w:tc>
          <w:tcPr>
            <w:tcW w:w="1175"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337</w:t>
            </w:r>
          </w:p>
        </w:tc>
        <w:tc>
          <w:tcPr>
            <w:tcW w:w="1613" w:type="dxa"/>
            <w:vAlign w:val="center"/>
          </w:tcPr>
          <w:p w:rsidR="00321504" w:rsidRPr="0081107A"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100%</w:t>
            </w:r>
          </w:p>
        </w:tc>
      </w:tr>
    </w:tbl>
    <w:p w:rsidR="00321504" w:rsidRPr="0081107A" w:rsidRDefault="00321504" w:rsidP="00321504">
      <w:pPr>
        <w:spacing w:after="0" w:line="240" w:lineRule="auto"/>
        <w:ind w:left="2160"/>
        <w:contextualSpacing/>
        <w:jc w:val="both"/>
        <w:rPr>
          <w:rFonts w:ascii="Times New Roman" w:eastAsia="Batang" w:hAnsi="Times New Roman" w:cs="Times New Roman"/>
          <w:color w:val="000000" w:themeColor="text1"/>
          <w:sz w:val="24"/>
          <w:szCs w:val="24"/>
        </w:rPr>
      </w:pPr>
      <w:r w:rsidRPr="0081107A">
        <w:rPr>
          <w:rFonts w:ascii="Times New Roman" w:eastAsia="Batang" w:hAnsi="Times New Roman" w:cs="Times New Roman"/>
          <w:i/>
          <w:color w:val="000000" w:themeColor="text1"/>
          <w:sz w:val="20"/>
          <w:szCs w:val="20"/>
        </w:rPr>
        <w:t>Source: MPT Computation</w:t>
      </w:r>
    </w:p>
    <w:p w:rsidR="00321504" w:rsidRDefault="00321504" w:rsidP="00321504">
      <w:pPr>
        <w:spacing w:line="360" w:lineRule="auto"/>
        <w:ind w:left="360"/>
        <w:jc w:val="both"/>
        <w:rPr>
          <w:rFonts w:ascii="Times New Roman" w:eastAsia="Batang" w:hAnsi="Times New Roman" w:cs="Times New Roman"/>
          <w:color w:val="000000" w:themeColor="text1"/>
          <w:sz w:val="24"/>
          <w:szCs w:val="24"/>
        </w:rPr>
      </w:pPr>
    </w:p>
    <w:p w:rsidR="00321504" w:rsidRPr="0081107A" w:rsidRDefault="00321504" w:rsidP="00321504">
      <w:pPr>
        <w:spacing w:line="360" w:lineRule="auto"/>
        <w:ind w:left="1440"/>
        <w:jc w:val="both"/>
        <w:rPr>
          <w:rFonts w:ascii="Times New Roman" w:eastAsia="Batang" w:hAnsi="Times New Roman" w:cs="Times New Roman"/>
          <w:color w:val="000000" w:themeColor="text1"/>
          <w:sz w:val="24"/>
          <w:szCs w:val="24"/>
        </w:rPr>
      </w:pPr>
      <w:r w:rsidRPr="0081107A">
        <w:rPr>
          <w:rFonts w:ascii="Times New Roman" w:eastAsia="Batang" w:hAnsi="Times New Roman" w:cs="Times New Roman"/>
          <w:color w:val="000000" w:themeColor="text1"/>
          <w:sz w:val="24"/>
          <w:szCs w:val="24"/>
        </w:rPr>
        <w:t xml:space="preserve">The Municipality of </w:t>
      </w:r>
      <w:proofErr w:type="spellStart"/>
      <w:r w:rsidRPr="0081107A">
        <w:rPr>
          <w:rFonts w:ascii="Times New Roman" w:eastAsia="Batang" w:hAnsi="Times New Roman" w:cs="Times New Roman"/>
          <w:color w:val="000000" w:themeColor="text1"/>
          <w:sz w:val="24"/>
          <w:szCs w:val="24"/>
        </w:rPr>
        <w:t>Mangaldan</w:t>
      </w:r>
      <w:proofErr w:type="spellEnd"/>
      <w:r w:rsidRPr="0081107A">
        <w:rPr>
          <w:rFonts w:ascii="Times New Roman" w:eastAsia="Batang" w:hAnsi="Times New Roman" w:cs="Times New Roman"/>
          <w:color w:val="000000" w:themeColor="text1"/>
          <w:sz w:val="24"/>
          <w:szCs w:val="24"/>
        </w:rPr>
        <w:t xml:space="preserve"> being a 1</w:t>
      </w:r>
      <w:r w:rsidRPr="0081107A">
        <w:rPr>
          <w:rFonts w:ascii="Times New Roman" w:eastAsia="Batang" w:hAnsi="Times New Roman" w:cs="Times New Roman"/>
          <w:color w:val="000000" w:themeColor="text1"/>
          <w:sz w:val="24"/>
          <w:szCs w:val="24"/>
          <w:vertAlign w:val="superscript"/>
        </w:rPr>
        <w:t>st</w:t>
      </w:r>
      <w:r w:rsidRPr="0081107A">
        <w:rPr>
          <w:rFonts w:ascii="Times New Roman" w:eastAsia="Batang" w:hAnsi="Times New Roman" w:cs="Times New Roman"/>
          <w:color w:val="000000" w:themeColor="text1"/>
          <w:sz w:val="24"/>
          <w:szCs w:val="24"/>
        </w:rPr>
        <w:t xml:space="preserve"> class municipality in the Province of </w:t>
      </w:r>
      <w:proofErr w:type="spellStart"/>
      <w:r w:rsidRPr="0081107A">
        <w:rPr>
          <w:rFonts w:ascii="Times New Roman" w:eastAsia="Batang" w:hAnsi="Times New Roman" w:cs="Times New Roman"/>
          <w:color w:val="000000" w:themeColor="text1"/>
          <w:sz w:val="24"/>
          <w:szCs w:val="24"/>
        </w:rPr>
        <w:t>Pangasinan</w:t>
      </w:r>
      <w:proofErr w:type="spellEnd"/>
      <w:r w:rsidRPr="0081107A">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 xml:space="preserve">is </w:t>
      </w:r>
      <w:r w:rsidRPr="0081107A">
        <w:rPr>
          <w:rFonts w:ascii="Times New Roman" w:eastAsia="Batang" w:hAnsi="Times New Roman" w:cs="Times New Roman"/>
          <w:color w:val="000000" w:themeColor="text1"/>
          <w:sz w:val="24"/>
          <w:szCs w:val="24"/>
        </w:rPr>
        <w:t>beset</w:t>
      </w:r>
      <w:r>
        <w:rPr>
          <w:rFonts w:ascii="Times New Roman" w:eastAsia="Batang" w:hAnsi="Times New Roman" w:cs="Times New Roman"/>
          <w:color w:val="000000" w:themeColor="text1"/>
          <w:sz w:val="24"/>
          <w:szCs w:val="24"/>
        </w:rPr>
        <w:t xml:space="preserve"> with</w:t>
      </w:r>
      <w:r w:rsidRPr="0081107A">
        <w:rPr>
          <w:rFonts w:ascii="Times New Roman" w:eastAsia="Batang" w:hAnsi="Times New Roman" w:cs="Times New Roman"/>
          <w:color w:val="000000" w:themeColor="text1"/>
          <w:sz w:val="24"/>
          <w:szCs w:val="24"/>
        </w:rPr>
        <w:t xml:space="preserve"> housing problem</w:t>
      </w:r>
      <w:r>
        <w:rPr>
          <w:rFonts w:ascii="Times New Roman" w:eastAsia="Batang" w:hAnsi="Times New Roman" w:cs="Times New Roman"/>
          <w:color w:val="000000" w:themeColor="text1"/>
          <w:sz w:val="24"/>
          <w:szCs w:val="24"/>
        </w:rPr>
        <w:t>s</w:t>
      </w:r>
      <w:r w:rsidRPr="0081107A">
        <w:rPr>
          <w:rFonts w:ascii="Times New Roman" w:eastAsia="Batang" w:hAnsi="Times New Roman" w:cs="Times New Roman"/>
          <w:color w:val="000000" w:themeColor="text1"/>
          <w:sz w:val="24"/>
          <w:szCs w:val="24"/>
        </w:rPr>
        <w:t xml:space="preserve"> due to: 1) Settlements along NPR Railway </w:t>
      </w:r>
      <w:r>
        <w:rPr>
          <w:rFonts w:ascii="Times New Roman" w:eastAsia="Batang" w:hAnsi="Times New Roman" w:cs="Times New Roman"/>
          <w:color w:val="000000" w:themeColor="text1"/>
          <w:sz w:val="24"/>
          <w:szCs w:val="24"/>
        </w:rPr>
        <w:t>and 2) Doubled-up H</w:t>
      </w:r>
      <w:r w:rsidRPr="0081107A">
        <w:rPr>
          <w:rFonts w:ascii="Times New Roman" w:eastAsia="Batang" w:hAnsi="Times New Roman" w:cs="Times New Roman"/>
          <w:color w:val="000000" w:themeColor="text1"/>
          <w:sz w:val="24"/>
          <w:szCs w:val="24"/>
        </w:rPr>
        <w:t xml:space="preserve">ouseholds based on the 2010 census of </w:t>
      </w:r>
      <w:r>
        <w:rPr>
          <w:rFonts w:ascii="Times New Roman" w:eastAsia="Batang" w:hAnsi="Times New Roman" w:cs="Times New Roman"/>
          <w:color w:val="000000" w:themeColor="text1"/>
          <w:sz w:val="24"/>
          <w:szCs w:val="24"/>
        </w:rPr>
        <w:t>337</w:t>
      </w:r>
      <w:r w:rsidRPr="0081107A">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out of 16,307 housing units.</w:t>
      </w:r>
    </w:p>
    <w:p w:rsidR="00321504" w:rsidRDefault="00321504" w:rsidP="00321504">
      <w:pPr>
        <w:spacing w:after="0" w:line="240" w:lineRule="auto"/>
        <w:contextualSpacing/>
        <w:jc w:val="center"/>
        <w:rPr>
          <w:rFonts w:ascii="Times New Roman" w:eastAsia="Batang" w:hAnsi="Times New Roman" w:cs="Times New Roman"/>
          <w:sz w:val="24"/>
          <w:szCs w:val="24"/>
        </w:rPr>
      </w:pPr>
    </w:p>
    <w:p w:rsidR="00321504" w:rsidRPr="005F1AA6" w:rsidRDefault="00321504" w:rsidP="00321504">
      <w:pPr>
        <w:spacing w:after="0" w:line="240" w:lineRule="auto"/>
        <w:ind w:right="-630" w:firstLine="360"/>
        <w:contextualSpacing/>
        <w:jc w:val="center"/>
        <w:rPr>
          <w:rFonts w:ascii="Times New Roman" w:eastAsia="Batang" w:hAnsi="Times New Roman" w:cs="Times New Roman"/>
          <w:b/>
          <w:sz w:val="24"/>
          <w:szCs w:val="24"/>
        </w:rPr>
      </w:pPr>
      <w:r>
        <w:rPr>
          <w:rFonts w:ascii="Times New Roman" w:eastAsia="Batang" w:hAnsi="Times New Roman" w:cs="Times New Roman"/>
          <w:sz w:val="24"/>
          <w:szCs w:val="24"/>
        </w:rPr>
        <w:t xml:space="preserve">   </w:t>
      </w:r>
      <w:r w:rsidRPr="005F1AA6">
        <w:rPr>
          <w:rFonts w:ascii="Times New Roman" w:eastAsia="Batang" w:hAnsi="Times New Roman" w:cs="Times New Roman"/>
          <w:b/>
          <w:sz w:val="24"/>
          <w:szCs w:val="24"/>
        </w:rPr>
        <w:t xml:space="preserve"> Table 4</w:t>
      </w:r>
      <w:r>
        <w:rPr>
          <w:rFonts w:ascii="Times New Roman" w:eastAsia="Batang" w:hAnsi="Times New Roman" w:cs="Times New Roman"/>
          <w:b/>
          <w:sz w:val="24"/>
          <w:szCs w:val="24"/>
        </w:rPr>
        <w:t>4</w:t>
      </w:r>
      <w:r w:rsidRPr="005F1AA6">
        <w:rPr>
          <w:rFonts w:ascii="Times New Roman" w:eastAsia="Batang" w:hAnsi="Times New Roman" w:cs="Times New Roman"/>
          <w:b/>
          <w:sz w:val="24"/>
          <w:szCs w:val="24"/>
        </w:rPr>
        <w:t xml:space="preserve">: Occupied Housing Units </w:t>
      </w:r>
      <w:r>
        <w:rPr>
          <w:rFonts w:ascii="Times New Roman" w:eastAsia="Batang" w:hAnsi="Times New Roman" w:cs="Times New Roman"/>
          <w:b/>
          <w:sz w:val="24"/>
          <w:szCs w:val="24"/>
        </w:rPr>
        <w:t>b</w:t>
      </w:r>
      <w:r w:rsidRPr="005F1AA6">
        <w:rPr>
          <w:rFonts w:ascii="Times New Roman" w:eastAsia="Batang" w:hAnsi="Times New Roman" w:cs="Times New Roman"/>
          <w:b/>
          <w:sz w:val="24"/>
          <w:szCs w:val="24"/>
        </w:rPr>
        <w:t>y Construction Materials of the Outer Walls and Roof</w:t>
      </w:r>
    </w:p>
    <w:tbl>
      <w:tblPr>
        <w:tblStyle w:val="TableGrid1"/>
        <w:tblW w:w="9487" w:type="dxa"/>
        <w:tblInd w:w="738" w:type="dxa"/>
        <w:tblLook w:val="04A0" w:firstRow="1" w:lastRow="0" w:firstColumn="1" w:lastColumn="0" w:noHBand="0" w:noVBand="1"/>
      </w:tblPr>
      <w:tblGrid>
        <w:gridCol w:w="2268"/>
        <w:gridCol w:w="1793"/>
        <w:gridCol w:w="1710"/>
        <w:gridCol w:w="1800"/>
        <w:gridCol w:w="1916"/>
      </w:tblGrid>
      <w:tr w:rsidR="00321504" w:rsidRPr="00321504" w:rsidTr="00B66822">
        <w:tc>
          <w:tcPr>
            <w:tcW w:w="2268" w:type="dxa"/>
            <w:vMerge w:val="restart"/>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Construction Materials of the Outer Walls</w:t>
            </w:r>
          </w:p>
        </w:tc>
        <w:tc>
          <w:tcPr>
            <w:tcW w:w="1793" w:type="dxa"/>
            <w:vMerge w:val="restart"/>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Total Occupied Housing Units</w:t>
            </w:r>
          </w:p>
        </w:tc>
        <w:tc>
          <w:tcPr>
            <w:tcW w:w="5426" w:type="dxa"/>
            <w:gridSpan w:val="3"/>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CONSTRUCTION MATERIALS OF THE ROOF</w:t>
            </w:r>
          </w:p>
        </w:tc>
      </w:tr>
      <w:tr w:rsidR="00321504" w:rsidRPr="00321504" w:rsidTr="00B66822">
        <w:tc>
          <w:tcPr>
            <w:tcW w:w="2268" w:type="dxa"/>
            <w:vMerge/>
            <w:vAlign w:val="center"/>
          </w:tcPr>
          <w:p w:rsidR="00321504" w:rsidRPr="00321504" w:rsidRDefault="00321504" w:rsidP="00B66822">
            <w:pPr>
              <w:spacing w:after="0" w:line="240" w:lineRule="auto"/>
              <w:contextualSpacing/>
              <w:jc w:val="center"/>
              <w:rPr>
                <w:rFonts w:ascii="Times New Roman" w:hAnsi="Times New Roman" w:cs="Times New Roman"/>
                <w:b/>
              </w:rPr>
            </w:pPr>
          </w:p>
        </w:tc>
        <w:tc>
          <w:tcPr>
            <w:tcW w:w="1793" w:type="dxa"/>
            <w:vMerge/>
            <w:vAlign w:val="center"/>
          </w:tcPr>
          <w:p w:rsidR="00321504" w:rsidRPr="00321504" w:rsidRDefault="00321504" w:rsidP="00B66822">
            <w:pPr>
              <w:spacing w:after="0" w:line="240" w:lineRule="auto"/>
              <w:contextualSpacing/>
              <w:jc w:val="center"/>
              <w:rPr>
                <w:rFonts w:ascii="Times New Roman" w:hAnsi="Times New Roman" w:cs="Times New Roman"/>
                <w:b/>
              </w:rPr>
            </w:pP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Galvanized Iron/ Aluminum</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Tile Concrete/ Clay Tile</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Half Galvanized Iron and Half Concrete</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Concrete/ Brick/ Stone</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7,337</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6,700</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118</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487</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Wood</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1,381</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1,095</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3</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69</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Half Concrete/ Brick/ Stone and Half Wood</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6,263</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3,926</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22</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2,215</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Galvanized Iron/ Aluminum</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213</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106</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4</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51</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 xml:space="preserve">Bamboo/ </w:t>
            </w:r>
            <w:proofErr w:type="spellStart"/>
            <w:r w:rsidRPr="00321504">
              <w:rPr>
                <w:rFonts w:ascii="Times New Roman" w:hAnsi="Times New Roman" w:cs="Times New Roman"/>
              </w:rPr>
              <w:t>Sawali</w:t>
            </w:r>
            <w:proofErr w:type="spellEnd"/>
            <w:r w:rsidRPr="00321504">
              <w:rPr>
                <w:rFonts w:ascii="Times New Roman" w:hAnsi="Times New Roman" w:cs="Times New Roman"/>
              </w:rPr>
              <w:t xml:space="preserve">/ Cogon/ </w:t>
            </w:r>
            <w:proofErr w:type="spellStart"/>
            <w:r w:rsidRPr="00321504">
              <w:rPr>
                <w:rFonts w:ascii="Times New Roman" w:hAnsi="Times New Roman" w:cs="Times New Roman"/>
              </w:rPr>
              <w:t>Nipa</w:t>
            </w:r>
            <w:proofErr w:type="spellEnd"/>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2,623</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1,231</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256</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Asbestos</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3</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Glass</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 xml:space="preserve">Makeshift/ Salvaged/ Improvised Materials </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51</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30</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3</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Others/ Not Reported</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93</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19</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2</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4</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rPr>
            </w:pPr>
            <w:r w:rsidRPr="00321504">
              <w:rPr>
                <w:rFonts w:ascii="Times New Roman" w:hAnsi="Times New Roman" w:cs="Times New Roman"/>
              </w:rPr>
              <w:t>No Walls</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rPr>
            </w:pPr>
            <w:r w:rsidRPr="00321504">
              <w:rPr>
                <w:rFonts w:ascii="Times New Roman" w:hAnsi="Times New Roman" w:cs="Times New Roman"/>
              </w:rPr>
              <w:t>-</w:t>
            </w:r>
          </w:p>
        </w:tc>
      </w:tr>
      <w:tr w:rsidR="00321504" w:rsidRPr="00321504" w:rsidTr="00B66822">
        <w:tc>
          <w:tcPr>
            <w:tcW w:w="2268" w:type="dxa"/>
          </w:tcPr>
          <w:p w:rsidR="00321504" w:rsidRPr="00321504" w:rsidRDefault="00321504" w:rsidP="00B66822">
            <w:pPr>
              <w:spacing w:after="0" w:line="240" w:lineRule="auto"/>
              <w:contextualSpacing/>
              <w:rPr>
                <w:rFonts w:ascii="Times New Roman" w:hAnsi="Times New Roman" w:cs="Times New Roman"/>
                <w:b/>
              </w:rPr>
            </w:pPr>
            <w:r w:rsidRPr="00321504">
              <w:rPr>
                <w:rFonts w:ascii="Times New Roman" w:hAnsi="Times New Roman" w:cs="Times New Roman"/>
                <w:b/>
              </w:rPr>
              <w:t>TOTAL</w:t>
            </w:r>
          </w:p>
        </w:tc>
        <w:tc>
          <w:tcPr>
            <w:tcW w:w="1793"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17,964</w:t>
            </w:r>
          </w:p>
        </w:tc>
        <w:tc>
          <w:tcPr>
            <w:tcW w:w="1710"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13,108</w:t>
            </w:r>
          </w:p>
        </w:tc>
        <w:tc>
          <w:tcPr>
            <w:tcW w:w="1800"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150</w:t>
            </w:r>
          </w:p>
        </w:tc>
        <w:tc>
          <w:tcPr>
            <w:tcW w:w="1916" w:type="dxa"/>
            <w:vAlign w:val="center"/>
          </w:tcPr>
          <w:p w:rsidR="00321504" w:rsidRPr="00321504" w:rsidRDefault="00321504" w:rsidP="00B66822">
            <w:pPr>
              <w:spacing w:after="0" w:line="240" w:lineRule="auto"/>
              <w:contextualSpacing/>
              <w:jc w:val="center"/>
              <w:rPr>
                <w:rFonts w:ascii="Times New Roman" w:hAnsi="Times New Roman" w:cs="Times New Roman"/>
                <w:b/>
              </w:rPr>
            </w:pPr>
            <w:r w:rsidRPr="00321504">
              <w:rPr>
                <w:rFonts w:ascii="Times New Roman" w:hAnsi="Times New Roman" w:cs="Times New Roman"/>
                <w:b/>
              </w:rPr>
              <w:t>3,085</w:t>
            </w:r>
          </w:p>
        </w:tc>
      </w:tr>
    </w:tbl>
    <w:p w:rsidR="00321504" w:rsidRDefault="00321504" w:rsidP="00321504">
      <w:pPr>
        <w:jc w:val="both"/>
        <w:rPr>
          <w:rFonts w:ascii="Times New Roman" w:eastAsia="Batang" w:hAnsi="Times New Roman" w:cs="Times New Roman"/>
          <w:i/>
          <w:sz w:val="20"/>
          <w:szCs w:val="20"/>
        </w:rPr>
      </w:pPr>
      <w:r>
        <w:rPr>
          <w:rFonts w:ascii="Times New Roman" w:eastAsia="Batang" w:hAnsi="Times New Roman" w:cs="Times New Roman"/>
          <w:sz w:val="24"/>
          <w:szCs w:val="24"/>
        </w:rPr>
        <w:tab/>
      </w:r>
      <w:r w:rsidRPr="005F1AA6">
        <w:rPr>
          <w:rFonts w:ascii="Times New Roman" w:eastAsia="Batang" w:hAnsi="Times New Roman" w:cs="Times New Roman"/>
          <w:i/>
          <w:sz w:val="20"/>
          <w:szCs w:val="20"/>
        </w:rPr>
        <w:t>Source: NSO 2007 Census Result</w:t>
      </w:r>
    </w:p>
    <w:p w:rsidR="00321504" w:rsidRDefault="00321504" w:rsidP="00321504">
      <w:pPr>
        <w:ind w:left="720"/>
        <w:jc w:val="both"/>
        <w:rPr>
          <w:rFonts w:ascii="Times New Roman" w:eastAsia="Batang" w:hAnsi="Times New Roman" w:cs="Times New Roman"/>
          <w:b/>
          <w:i/>
          <w:sz w:val="24"/>
          <w:szCs w:val="24"/>
        </w:rPr>
      </w:pPr>
    </w:p>
    <w:p w:rsidR="00FC21BF" w:rsidRDefault="00FC21BF" w:rsidP="00321504">
      <w:pPr>
        <w:ind w:left="720"/>
        <w:jc w:val="both"/>
        <w:rPr>
          <w:rFonts w:ascii="Times New Roman" w:eastAsia="Batang" w:hAnsi="Times New Roman" w:cs="Times New Roman"/>
          <w:b/>
          <w:i/>
          <w:sz w:val="24"/>
          <w:szCs w:val="24"/>
        </w:rPr>
      </w:pPr>
    </w:p>
    <w:p w:rsidR="00FC21BF" w:rsidRDefault="00FC21BF" w:rsidP="00321504">
      <w:pPr>
        <w:ind w:left="720"/>
        <w:jc w:val="both"/>
        <w:rPr>
          <w:rFonts w:ascii="Times New Roman" w:eastAsia="Batang" w:hAnsi="Times New Roman" w:cs="Times New Roman"/>
          <w:b/>
          <w:i/>
          <w:sz w:val="24"/>
          <w:szCs w:val="24"/>
        </w:rPr>
      </w:pPr>
    </w:p>
    <w:p w:rsidR="00FC21BF" w:rsidRDefault="00FC21BF" w:rsidP="00321504">
      <w:pPr>
        <w:ind w:left="720"/>
        <w:jc w:val="both"/>
        <w:rPr>
          <w:rFonts w:ascii="Times New Roman" w:eastAsia="Batang" w:hAnsi="Times New Roman" w:cs="Times New Roman"/>
          <w:b/>
          <w:i/>
          <w:sz w:val="24"/>
          <w:szCs w:val="24"/>
        </w:rPr>
      </w:pPr>
    </w:p>
    <w:p w:rsidR="00321504" w:rsidRPr="001646C6" w:rsidRDefault="00321504" w:rsidP="00321504">
      <w:pPr>
        <w:ind w:left="720" w:firstLine="720"/>
        <w:jc w:val="both"/>
        <w:rPr>
          <w:rFonts w:ascii="Times New Roman" w:eastAsia="Batang" w:hAnsi="Times New Roman" w:cs="Times New Roman"/>
          <w:b/>
          <w:i/>
          <w:sz w:val="24"/>
          <w:szCs w:val="24"/>
        </w:rPr>
      </w:pPr>
      <w:r w:rsidRPr="006569FC">
        <w:rPr>
          <w:rFonts w:ascii="Times New Roman" w:eastAsia="Batang" w:hAnsi="Times New Roman" w:cs="Times New Roman"/>
          <w:b/>
          <w:i/>
          <w:sz w:val="24"/>
          <w:szCs w:val="24"/>
        </w:rPr>
        <w:lastRenderedPageBreak/>
        <w:t>Informal Settlements Area</w:t>
      </w:r>
    </w:p>
    <w:p w:rsidR="00321504" w:rsidRPr="006569FC" w:rsidRDefault="00321504" w:rsidP="00321504">
      <w:pPr>
        <w:spacing w:line="360" w:lineRule="auto"/>
        <w:ind w:left="1440"/>
        <w:jc w:val="both"/>
        <w:rPr>
          <w:rFonts w:ascii="Times New Roman" w:eastAsia="Batang" w:hAnsi="Times New Roman" w:cs="Times New Roman"/>
          <w:sz w:val="24"/>
          <w:szCs w:val="24"/>
        </w:rPr>
      </w:pPr>
      <w:r w:rsidRPr="006569FC">
        <w:rPr>
          <w:rFonts w:ascii="Times New Roman" w:eastAsia="Batang" w:hAnsi="Times New Roman" w:cs="Times New Roman"/>
          <w:sz w:val="24"/>
          <w:szCs w:val="24"/>
        </w:rPr>
        <w:t>Informal settlements are areas in the municipality where groups of housing units have been constructed on land that the occupants have no legal claim to, or occupy illegally. It is the unplanned settlement and area where housing is not in compliance with the current planning and building regulations.</w:t>
      </w: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r w:rsidRPr="006569FC">
        <w:rPr>
          <w:rFonts w:ascii="Times New Roman" w:eastAsia="Batang" w:hAnsi="Times New Roman" w:cs="Times New Roman"/>
          <w:color w:val="000000" w:themeColor="text1"/>
          <w:sz w:val="24"/>
          <w:szCs w:val="24"/>
        </w:rPr>
        <w:t xml:space="preserve">There around 400 houses constructed along Railways in the Municipality of </w:t>
      </w:r>
      <w:proofErr w:type="spellStart"/>
      <w:r w:rsidRPr="006569FC">
        <w:rPr>
          <w:rFonts w:ascii="Times New Roman" w:eastAsia="Batang" w:hAnsi="Times New Roman" w:cs="Times New Roman"/>
          <w:color w:val="000000" w:themeColor="text1"/>
          <w:sz w:val="24"/>
          <w:szCs w:val="24"/>
        </w:rPr>
        <w:t>Mangaldan</w:t>
      </w:r>
      <w:proofErr w:type="spellEnd"/>
      <w:r w:rsidRPr="006569FC">
        <w:rPr>
          <w:rFonts w:ascii="Times New Roman" w:eastAsia="Batang" w:hAnsi="Times New Roman" w:cs="Times New Roman"/>
          <w:color w:val="000000" w:themeColor="text1"/>
          <w:sz w:val="24"/>
          <w:szCs w:val="24"/>
        </w:rPr>
        <w:t xml:space="preserve"> traversing the five (5) barangays namely: </w:t>
      </w:r>
      <w:proofErr w:type="spellStart"/>
      <w:r w:rsidRPr="006569FC">
        <w:rPr>
          <w:rFonts w:ascii="Times New Roman" w:eastAsia="Batang" w:hAnsi="Times New Roman" w:cs="Times New Roman"/>
          <w:color w:val="000000" w:themeColor="text1"/>
          <w:sz w:val="24"/>
          <w:szCs w:val="24"/>
        </w:rPr>
        <w:t>Maasin</w:t>
      </w:r>
      <w:proofErr w:type="spellEnd"/>
      <w:r w:rsidRPr="006569FC">
        <w:rPr>
          <w:rFonts w:ascii="Times New Roman" w:eastAsia="Batang" w:hAnsi="Times New Roman" w:cs="Times New Roman"/>
          <w:color w:val="000000" w:themeColor="text1"/>
          <w:sz w:val="24"/>
          <w:szCs w:val="24"/>
        </w:rPr>
        <w:t xml:space="preserve">, </w:t>
      </w:r>
      <w:proofErr w:type="spellStart"/>
      <w:r w:rsidRPr="006569FC">
        <w:rPr>
          <w:rFonts w:ascii="Times New Roman" w:eastAsia="Batang" w:hAnsi="Times New Roman" w:cs="Times New Roman"/>
          <w:color w:val="000000" w:themeColor="text1"/>
          <w:sz w:val="24"/>
          <w:szCs w:val="24"/>
        </w:rPr>
        <w:t>Salay</w:t>
      </w:r>
      <w:proofErr w:type="spellEnd"/>
      <w:r w:rsidRPr="006569FC">
        <w:rPr>
          <w:rFonts w:ascii="Times New Roman" w:eastAsia="Batang" w:hAnsi="Times New Roman" w:cs="Times New Roman"/>
          <w:color w:val="000000" w:themeColor="text1"/>
          <w:sz w:val="24"/>
          <w:szCs w:val="24"/>
        </w:rPr>
        <w:t xml:space="preserve">, </w:t>
      </w:r>
      <w:proofErr w:type="spellStart"/>
      <w:r w:rsidRPr="006569FC">
        <w:rPr>
          <w:rFonts w:ascii="Times New Roman" w:eastAsia="Batang" w:hAnsi="Times New Roman" w:cs="Times New Roman"/>
          <w:color w:val="000000" w:themeColor="text1"/>
          <w:sz w:val="24"/>
          <w:szCs w:val="24"/>
        </w:rPr>
        <w:t>Salaan</w:t>
      </w:r>
      <w:proofErr w:type="spellEnd"/>
      <w:r w:rsidRPr="006569FC">
        <w:rPr>
          <w:rFonts w:ascii="Times New Roman" w:eastAsia="Batang" w:hAnsi="Times New Roman" w:cs="Times New Roman"/>
          <w:color w:val="000000" w:themeColor="text1"/>
          <w:sz w:val="24"/>
          <w:szCs w:val="24"/>
        </w:rPr>
        <w:t xml:space="preserve">, </w:t>
      </w:r>
      <w:proofErr w:type="spellStart"/>
      <w:r w:rsidRPr="006569FC">
        <w:rPr>
          <w:rFonts w:ascii="Times New Roman" w:eastAsia="Batang" w:hAnsi="Times New Roman" w:cs="Times New Roman"/>
          <w:color w:val="000000" w:themeColor="text1"/>
          <w:sz w:val="24"/>
          <w:szCs w:val="24"/>
        </w:rPr>
        <w:t>Palua</w:t>
      </w:r>
      <w:proofErr w:type="spellEnd"/>
      <w:r w:rsidRPr="006569FC">
        <w:rPr>
          <w:rFonts w:ascii="Times New Roman" w:eastAsia="Batang" w:hAnsi="Times New Roman" w:cs="Times New Roman"/>
          <w:color w:val="000000" w:themeColor="text1"/>
          <w:sz w:val="24"/>
          <w:szCs w:val="24"/>
        </w:rPr>
        <w:t xml:space="preserve"> &amp; Pogo.  There are six</w:t>
      </w:r>
      <w:r>
        <w:rPr>
          <w:rFonts w:ascii="Times New Roman" w:eastAsia="Batang" w:hAnsi="Times New Roman" w:cs="Times New Roman"/>
          <w:color w:val="000000" w:themeColor="text1"/>
          <w:sz w:val="24"/>
          <w:szCs w:val="24"/>
        </w:rPr>
        <w:t>teen</w:t>
      </w:r>
      <w:r w:rsidRPr="006569FC">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1</w:t>
      </w:r>
      <w:r w:rsidRPr="006569FC">
        <w:rPr>
          <w:rFonts w:ascii="Times New Roman" w:eastAsia="Batang" w:hAnsi="Times New Roman" w:cs="Times New Roman"/>
          <w:color w:val="000000" w:themeColor="text1"/>
          <w:sz w:val="24"/>
          <w:szCs w:val="24"/>
        </w:rPr>
        <w:t>6)</w:t>
      </w:r>
      <w:r>
        <w:rPr>
          <w:rFonts w:ascii="Times New Roman" w:eastAsia="Batang" w:hAnsi="Times New Roman" w:cs="Times New Roman"/>
          <w:color w:val="000000" w:themeColor="text1"/>
          <w:sz w:val="24"/>
          <w:szCs w:val="24"/>
        </w:rPr>
        <w:t xml:space="preserve"> subdivisions</w:t>
      </w:r>
      <w:r w:rsidRPr="006569FC">
        <w:rPr>
          <w:rFonts w:ascii="Times New Roman" w:eastAsia="Batang" w:hAnsi="Times New Roman" w:cs="Times New Roman"/>
          <w:color w:val="000000" w:themeColor="text1"/>
          <w:sz w:val="24"/>
          <w:szCs w:val="24"/>
        </w:rPr>
        <w:t xml:space="preserve"> registered in the locality. It approximately oc</w:t>
      </w:r>
      <w:r>
        <w:rPr>
          <w:rFonts w:ascii="Times New Roman" w:eastAsia="Batang" w:hAnsi="Times New Roman" w:cs="Times New Roman"/>
          <w:color w:val="000000" w:themeColor="text1"/>
          <w:sz w:val="24"/>
          <w:szCs w:val="24"/>
        </w:rPr>
        <w:t xml:space="preserve">cupies a total land area of </w:t>
      </w:r>
      <w:r w:rsidRPr="00F6206B">
        <w:rPr>
          <w:rFonts w:ascii="Times New Roman" w:eastAsia="Batang" w:hAnsi="Times New Roman" w:cs="Times New Roman"/>
          <w:color w:val="000000" w:themeColor="text1"/>
          <w:sz w:val="24"/>
          <w:szCs w:val="24"/>
        </w:rPr>
        <w:t xml:space="preserve">29.3818 </w:t>
      </w:r>
      <w:r w:rsidRPr="006569FC">
        <w:rPr>
          <w:rFonts w:ascii="Times New Roman" w:eastAsia="Batang" w:hAnsi="Times New Roman" w:cs="Times New Roman"/>
          <w:color w:val="000000" w:themeColor="text1"/>
          <w:sz w:val="24"/>
          <w:szCs w:val="24"/>
        </w:rPr>
        <w:t xml:space="preserve">hectares. </w:t>
      </w:r>
    </w:p>
    <w:p w:rsidR="00321504" w:rsidRPr="007E3588" w:rsidRDefault="00321504" w:rsidP="00321504">
      <w:pPr>
        <w:spacing w:after="0" w:line="240" w:lineRule="auto"/>
        <w:ind w:left="720"/>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Table 4</w:t>
      </w:r>
      <w:r>
        <w:rPr>
          <w:rFonts w:ascii="Times New Roman" w:eastAsia="Batang" w:hAnsi="Times New Roman" w:cs="Times New Roman"/>
          <w:b/>
          <w:color w:val="000000" w:themeColor="text1"/>
          <w:sz w:val="24"/>
          <w:szCs w:val="24"/>
        </w:rPr>
        <w:t>5</w:t>
      </w:r>
      <w:r w:rsidRPr="007E3588">
        <w:rPr>
          <w:rFonts w:ascii="Times New Roman" w:eastAsia="Batang" w:hAnsi="Times New Roman" w:cs="Times New Roman"/>
          <w:b/>
          <w:color w:val="000000" w:themeColor="text1"/>
          <w:sz w:val="24"/>
          <w:szCs w:val="24"/>
        </w:rPr>
        <w:t>: Inventory of Existing, On-going and Proposed Housing</w:t>
      </w:r>
    </w:p>
    <w:tbl>
      <w:tblPr>
        <w:tblStyle w:val="TableGrid"/>
        <w:tblW w:w="9328" w:type="dxa"/>
        <w:tblInd w:w="720" w:type="dxa"/>
        <w:tblLook w:val="04A0" w:firstRow="1" w:lastRow="0" w:firstColumn="1" w:lastColumn="0" w:noHBand="0" w:noVBand="1"/>
      </w:tblPr>
      <w:tblGrid>
        <w:gridCol w:w="2268"/>
        <w:gridCol w:w="1499"/>
        <w:gridCol w:w="1201"/>
        <w:gridCol w:w="1506"/>
        <w:gridCol w:w="1420"/>
        <w:gridCol w:w="1434"/>
      </w:tblGrid>
      <w:tr w:rsidR="00321504" w:rsidTr="00B66822">
        <w:tc>
          <w:tcPr>
            <w:tcW w:w="2268" w:type="dxa"/>
            <w:vAlign w:val="center"/>
          </w:tcPr>
          <w:p w:rsidR="00321504" w:rsidRPr="007E3588"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Name of Subdivision</w:t>
            </w:r>
          </w:p>
        </w:tc>
        <w:tc>
          <w:tcPr>
            <w:tcW w:w="1499" w:type="dxa"/>
            <w:vAlign w:val="center"/>
          </w:tcPr>
          <w:p w:rsidR="00321504" w:rsidRPr="007E3588"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Location</w:t>
            </w:r>
          </w:p>
        </w:tc>
        <w:tc>
          <w:tcPr>
            <w:tcW w:w="1201" w:type="dxa"/>
            <w:vAlign w:val="center"/>
          </w:tcPr>
          <w:p w:rsidR="00321504" w:rsidRPr="007E3588"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Gross Land Area (</w:t>
            </w:r>
            <w:proofErr w:type="spellStart"/>
            <w:r w:rsidRPr="007E3588">
              <w:rPr>
                <w:rFonts w:ascii="Times New Roman" w:eastAsia="Batang" w:hAnsi="Times New Roman" w:cs="Times New Roman"/>
                <w:b/>
                <w:color w:val="000000" w:themeColor="text1"/>
                <w:sz w:val="24"/>
                <w:szCs w:val="24"/>
              </w:rPr>
              <w:t>sq.m</w:t>
            </w:r>
            <w:proofErr w:type="spellEnd"/>
            <w:r w:rsidRPr="007E3588">
              <w:rPr>
                <w:rFonts w:ascii="Times New Roman" w:eastAsia="Batang" w:hAnsi="Times New Roman" w:cs="Times New Roman"/>
                <w:b/>
                <w:color w:val="000000" w:themeColor="text1"/>
                <w:sz w:val="24"/>
                <w:szCs w:val="24"/>
              </w:rPr>
              <w:t>.)</w:t>
            </w:r>
          </w:p>
        </w:tc>
        <w:tc>
          <w:tcPr>
            <w:tcW w:w="1506" w:type="dxa"/>
            <w:vAlign w:val="center"/>
          </w:tcPr>
          <w:p w:rsidR="00321504" w:rsidRPr="007E3588"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No. of Dwelling Units</w:t>
            </w:r>
          </w:p>
        </w:tc>
        <w:tc>
          <w:tcPr>
            <w:tcW w:w="1420" w:type="dxa"/>
            <w:vAlign w:val="center"/>
          </w:tcPr>
          <w:p w:rsidR="00321504" w:rsidRPr="007E3588"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No. of Lots</w:t>
            </w:r>
          </w:p>
        </w:tc>
        <w:tc>
          <w:tcPr>
            <w:tcW w:w="1434" w:type="dxa"/>
            <w:vAlign w:val="center"/>
          </w:tcPr>
          <w:p w:rsidR="00321504" w:rsidRPr="007E3588"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E3588">
              <w:rPr>
                <w:rFonts w:ascii="Times New Roman" w:eastAsia="Batang" w:hAnsi="Times New Roman" w:cs="Times New Roman"/>
                <w:b/>
                <w:color w:val="000000" w:themeColor="text1"/>
                <w:sz w:val="24"/>
                <w:szCs w:val="24"/>
              </w:rPr>
              <w:t>Lot Sizes</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Emarville</w:t>
            </w:r>
            <w:proofErr w:type="spellEnd"/>
            <w:r>
              <w:rPr>
                <w:rFonts w:ascii="Times New Roman" w:eastAsia="Batang" w:hAnsi="Times New Roman" w:cs="Times New Roman"/>
                <w:color w:val="000000" w:themeColor="text1"/>
                <w:sz w:val="24"/>
                <w:szCs w:val="24"/>
              </w:rPr>
              <w:t xml:space="preserve"> Realty Dev. Corp.</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Amansabina</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16,096</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66</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150</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Beatriz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Banaoang</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8466</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41</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126</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Residencia</w:t>
            </w:r>
            <w:proofErr w:type="spellEnd"/>
            <w:r>
              <w:rPr>
                <w:rFonts w:ascii="Times New Roman" w:eastAsia="Batang" w:hAnsi="Times New Roman" w:cs="Times New Roman"/>
                <w:color w:val="000000" w:themeColor="text1"/>
                <w:sz w:val="24"/>
                <w:szCs w:val="24"/>
              </w:rPr>
              <w:t xml:space="preserve"> San Jose</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Banaoang</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37,407</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13</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126</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152</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Acompanado</w:t>
            </w:r>
            <w:proofErr w:type="spellEnd"/>
            <w:r>
              <w:rPr>
                <w:rFonts w:ascii="Times New Roman" w:eastAsia="Batang" w:hAnsi="Times New Roman" w:cs="Times New Roman"/>
                <w:color w:val="000000" w:themeColor="text1"/>
                <w:sz w:val="24"/>
                <w:szCs w:val="24"/>
              </w:rPr>
              <w:t xml:space="preserve">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Banaoang</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10,379</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23</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282</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Country Village</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Bari</w:t>
            </w:r>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16,677</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48</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54</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155</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Sarzaba</w:t>
            </w:r>
            <w:proofErr w:type="spellEnd"/>
            <w:r>
              <w:rPr>
                <w:rFonts w:ascii="Times New Roman" w:eastAsia="Batang" w:hAnsi="Times New Roman" w:cs="Times New Roman"/>
                <w:color w:val="000000" w:themeColor="text1"/>
                <w:sz w:val="24"/>
                <w:szCs w:val="24"/>
              </w:rPr>
              <w:t xml:space="preserve"> </w:t>
            </w:r>
            <w:proofErr w:type="spellStart"/>
            <w:r>
              <w:rPr>
                <w:rFonts w:ascii="Times New Roman" w:eastAsia="Batang" w:hAnsi="Times New Roman" w:cs="Times New Roman"/>
                <w:color w:val="000000" w:themeColor="text1"/>
                <w:sz w:val="24"/>
                <w:szCs w:val="24"/>
              </w:rPr>
              <w:t>Subdivison</w:t>
            </w:r>
            <w:proofErr w:type="spellEnd"/>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Guiguilonen</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17,965</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85</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150</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JBC Green Acre Homes</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Guiguilonen</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43,955</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256</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198</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Manuel Cabrera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Guilig</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5,870</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141</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Fernandez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Maasin</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6,194</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29</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184</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Residencia</w:t>
            </w:r>
            <w:proofErr w:type="spellEnd"/>
            <w:r>
              <w:rPr>
                <w:rFonts w:ascii="Times New Roman" w:eastAsia="Batang" w:hAnsi="Times New Roman" w:cs="Times New Roman"/>
                <w:color w:val="000000" w:themeColor="text1"/>
                <w:sz w:val="24"/>
                <w:szCs w:val="24"/>
              </w:rPr>
              <w:t xml:space="preserve"> San Jose</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Macayug</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10,224</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62</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145</w:t>
            </w:r>
          </w:p>
        </w:tc>
      </w:tr>
      <w:tr w:rsidR="00321504" w:rsidTr="00B66822">
        <w:trPr>
          <w:trHeight w:val="575"/>
        </w:trPr>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Raffles  Green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Malabago</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31,925</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Alpha Mega Estate Company</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Navaluan</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12,922</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120</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Cendaña</w:t>
            </w:r>
            <w:proofErr w:type="spellEnd"/>
            <w:r>
              <w:rPr>
                <w:rFonts w:ascii="Times New Roman" w:eastAsia="Batang" w:hAnsi="Times New Roman" w:cs="Times New Roman"/>
                <w:color w:val="000000" w:themeColor="text1"/>
                <w:sz w:val="24"/>
                <w:szCs w:val="24"/>
              </w:rPr>
              <w:t xml:space="preserve"> &amp; </w:t>
            </w:r>
            <w:proofErr w:type="spellStart"/>
            <w:r>
              <w:rPr>
                <w:rFonts w:ascii="Times New Roman" w:eastAsia="Batang" w:hAnsi="Times New Roman" w:cs="Times New Roman"/>
                <w:color w:val="000000" w:themeColor="text1"/>
                <w:sz w:val="24"/>
                <w:szCs w:val="24"/>
              </w:rPr>
              <w:t>Apostol</w:t>
            </w:r>
            <w:proofErr w:type="spellEnd"/>
            <w:r>
              <w:rPr>
                <w:rFonts w:ascii="Times New Roman" w:eastAsia="Batang" w:hAnsi="Times New Roman" w:cs="Times New Roman"/>
                <w:color w:val="000000" w:themeColor="text1"/>
                <w:sz w:val="24"/>
                <w:szCs w:val="24"/>
              </w:rPr>
              <w:t xml:space="preserve">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Nibaliw</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18,481</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375</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Honey Land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Tebag</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15,156</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259</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Jewelville</w:t>
            </w:r>
            <w:proofErr w:type="spellEnd"/>
            <w:r>
              <w:rPr>
                <w:rFonts w:ascii="Times New Roman" w:eastAsia="Batang" w:hAnsi="Times New Roman" w:cs="Times New Roman"/>
                <w:color w:val="000000" w:themeColor="text1"/>
                <w:sz w:val="24"/>
                <w:szCs w:val="24"/>
              </w:rPr>
              <w:t xml:space="preserve">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Anolid</w:t>
            </w:r>
            <w:proofErr w:type="spellEnd"/>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32,739</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290</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321504" w:rsidTr="00B66822">
        <w:tc>
          <w:tcPr>
            <w:tcW w:w="2268" w:type="dxa"/>
          </w:tcPr>
          <w:p w:rsidR="00321504" w:rsidRDefault="00321504" w:rsidP="00B66822">
            <w:pPr>
              <w:spacing w:after="0" w:line="240" w:lineRule="auto"/>
              <w:contextualSpacing/>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Tandingan</w:t>
            </w:r>
            <w:proofErr w:type="spellEnd"/>
            <w:r>
              <w:rPr>
                <w:rFonts w:ascii="Times New Roman" w:eastAsia="Batang" w:hAnsi="Times New Roman" w:cs="Times New Roman"/>
                <w:color w:val="000000" w:themeColor="text1"/>
                <w:sz w:val="24"/>
                <w:szCs w:val="24"/>
              </w:rPr>
              <w:t xml:space="preserve"> Subdivision</w:t>
            </w:r>
          </w:p>
        </w:tc>
        <w:tc>
          <w:tcPr>
            <w:tcW w:w="1499"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Bari</w:t>
            </w:r>
          </w:p>
        </w:tc>
        <w:tc>
          <w:tcPr>
            <w:tcW w:w="120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9,362</w:t>
            </w:r>
          </w:p>
        </w:tc>
        <w:tc>
          <w:tcPr>
            <w:tcW w:w="1506"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42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40</w:t>
            </w:r>
          </w:p>
        </w:tc>
        <w:tc>
          <w:tcPr>
            <w:tcW w:w="1434"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9362</w:t>
            </w:r>
          </w:p>
        </w:tc>
      </w:tr>
    </w:tbl>
    <w:p w:rsidR="00321504" w:rsidRPr="00C570D4" w:rsidRDefault="00321504" w:rsidP="00321504">
      <w:pPr>
        <w:spacing w:line="360" w:lineRule="auto"/>
        <w:ind w:left="720"/>
        <w:jc w:val="both"/>
        <w:rPr>
          <w:rFonts w:ascii="Times New Roman" w:eastAsia="Batang" w:hAnsi="Times New Roman" w:cs="Times New Roman"/>
          <w:i/>
          <w:color w:val="000000" w:themeColor="text1"/>
          <w:sz w:val="20"/>
          <w:szCs w:val="20"/>
        </w:rPr>
      </w:pPr>
      <w:r w:rsidRPr="007E3588">
        <w:rPr>
          <w:rFonts w:ascii="Times New Roman" w:eastAsia="Batang" w:hAnsi="Times New Roman" w:cs="Times New Roman"/>
          <w:i/>
          <w:color w:val="000000" w:themeColor="text1"/>
          <w:sz w:val="20"/>
          <w:szCs w:val="20"/>
        </w:rPr>
        <w:t xml:space="preserve">Source: Municipal Assessor’s Office </w:t>
      </w:r>
    </w:p>
    <w:p w:rsidR="00321504" w:rsidRPr="001646C6" w:rsidRDefault="00321504" w:rsidP="00321504">
      <w:pPr>
        <w:ind w:left="720" w:firstLine="720"/>
        <w:jc w:val="both"/>
        <w:rPr>
          <w:rFonts w:ascii="Times New Roman" w:eastAsia="Batang" w:hAnsi="Times New Roman" w:cs="Times New Roman"/>
          <w:b/>
          <w:i/>
          <w:color w:val="000000" w:themeColor="text1"/>
          <w:sz w:val="24"/>
          <w:szCs w:val="24"/>
        </w:rPr>
      </w:pPr>
      <w:r w:rsidRPr="001646C6">
        <w:rPr>
          <w:rFonts w:ascii="Times New Roman" w:eastAsia="Batang" w:hAnsi="Times New Roman" w:cs="Times New Roman"/>
          <w:b/>
          <w:i/>
          <w:color w:val="000000" w:themeColor="text1"/>
          <w:sz w:val="24"/>
          <w:szCs w:val="24"/>
        </w:rPr>
        <w:t>Housing Facilities and Utilities</w:t>
      </w:r>
    </w:p>
    <w:p w:rsidR="00321504" w:rsidRPr="006569FC" w:rsidRDefault="00321504" w:rsidP="00321504">
      <w:pPr>
        <w:spacing w:line="360" w:lineRule="auto"/>
        <w:ind w:left="1440"/>
        <w:jc w:val="both"/>
        <w:rPr>
          <w:rFonts w:ascii="Times New Roman" w:eastAsia="Batang" w:hAnsi="Times New Roman" w:cs="Times New Roman"/>
          <w:color w:val="000000" w:themeColor="text1"/>
          <w:sz w:val="24"/>
          <w:szCs w:val="24"/>
        </w:rPr>
      </w:pPr>
      <w:r w:rsidRPr="006569FC">
        <w:rPr>
          <w:rFonts w:ascii="Times New Roman" w:eastAsia="Batang" w:hAnsi="Times New Roman" w:cs="Times New Roman"/>
          <w:color w:val="000000" w:themeColor="text1"/>
          <w:sz w:val="24"/>
          <w:szCs w:val="24"/>
        </w:rPr>
        <w:t xml:space="preserve">There are about </w:t>
      </w:r>
      <w:r>
        <w:rPr>
          <w:rFonts w:ascii="Times New Roman" w:eastAsia="Batang" w:hAnsi="Times New Roman" w:cs="Times New Roman"/>
          <w:color w:val="000000" w:themeColor="text1"/>
          <w:sz w:val="24"/>
          <w:szCs w:val="24"/>
        </w:rPr>
        <w:t>16,903</w:t>
      </w:r>
      <w:r w:rsidRPr="006569FC">
        <w:rPr>
          <w:rFonts w:ascii="Times New Roman" w:eastAsia="Batang" w:hAnsi="Times New Roman" w:cs="Times New Roman"/>
          <w:color w:val="000000" w:themeColor="text1"/>
          <w:sz w:val="24"/>
          <w:szCs w:val="24"/>
        </w:rPr>
        <w:t xml:space="preserve"> households served with water supply or </w:t>
      </w:r>
      <w:r>
        <w:rPr>
          <w:rFonts w:ascii="Times New Roman" w:eastAsia="Batang" w:hAnsi="Times New Roman" w:cs="Times New Roman"/>
          <w:color w:val="000000" w:themeColor="text1"/>
          <w:sz w:val="24"/>
          <w:szCs w:val="24"/>
        </w:rPr>
        <w:t>95.04</w:t>
      </w:r>
      <w:r w:rsidRPr="006569FC">
        <w:rPr>
          <w:rFonts w:ascii="Times New Roman" w:eastAsia="Batang" w:hAnsi="Times New Roman" w:cs="Times New Roman"/>
          <w:color w:val="000000" w:themeColor="text1"/>
          <w:sz w:val="24"/>
          <w:szCs w:val="24"/>
        </w:rPr>
        <w:t xml:space="preserve"> percent of the total households </w:t>
      </w:r>
      <w:r>
        <w:rPr>
          <w:rFonts w:ascii="Times New Roman" w:eastAsia="Batang" w:hAnsi="Times New Roman" w:cs="Times New Roman"/>
          <w:color w:val="000000" w:themeColor="text1"/>
          <w:sz w:val="24"/>
          <w:szCs w:val="24"/>
        </w:rPr>
        <w:t>and 882 or 4.96 have no access to water supply</w:t>
      </w:r>
      <w:r w:rsidRPr="006569FC">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16,159</w:t>
      </w:r>
      <w:r w:rsidRPr="006569FC">
        <w:rPr>
          <w:rFonts w:ascii="Times New Roman" w:eastAsia="Batang" w:hAnsi="Times New Roman" w:cs="Times New Roman"/>
          <w:color w:val="000000" w:themeColor="text1"/>
          <w:sz w:val="24"/>
          <w:szCs w:val="24"/>
        </w:rPr>
        <w:t xml:space="preserve"> households or</w:t>
      </w:r>
      <w:r w:rsidR="00262A25">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77.48</w:t>
      </w:r>
      <w:r w:rsidRPr="006569FC">
        <w:rPr>
          <w:rFonts w:ascii="Times New Roman" w:eastAsia="Batang" w:hAnsi="Times New Roman" w:cs="Times New Roman"/>
          <w:color w:val="000000" w:themeColor="text1"/>
          <w:sz w:val="24"/>
          <w:szCs w:val="24"/>
        </w:rPr>
        <w:t xml:space="preserve"> percent are energized, the remaining </w:t>
      </w:r>
      <w:r>
        <w:rPr>
          <w:rFonts w:ascii="Times New Roman" w:eastAsia="Batang" w:hAnsi="Times New Roman" w:cs="Times New Roman"/>
          <w:color w:val="000000" w:themeColor="text1"/>
          <w:sz w:val="24"/>
          <w:szCs w:val="24"/>
        </w:rPr>
        <w:t>22.52</w:t>
      </w:r>
      <w:r w:rsidRPr="006569FC">
        <w:rPr>
          <w:rFonts w:ascii="Times New Roman" w:eastAsia="Batang" w:hAnsi="Times New Roman" w:cs="Times New Roman"/>
          <w:color w:val="000000" w:themeColor="text1"/>
          <w:sz w:val="24"/>
          <w:szCs w:val="24"/>
        </w:rPr>
        <w:t xml:space="preserve"> percent have </w:t>
      </w:r>
      <w:r>
        <w:rPr>
          <w:rFonts w:ascii="Times New Roman" w:eastAsia="Batang" w:hAnsi="Times New Roman" w:cs="Times New Roman"/>
          <w:color w:val="000000" w:themeColor="text1"/>
          <w:sz w:val="24"/>
          <w:szCs w:val="24"/>
        </w:rPr>
        <w:t xml:space="preserve">no </w:t>
      </w:r>
      <w:r w:rsidRPr="006569FC">
        <w:rPr>
          <w:rFonts w:ascii="Times New Roman" w:eastAsia="Batang" w:hAnsi="Times New Roman" w:cs="Times New Roman"/>
          <w:color w:val="000000" w:themeColor="text1"/>
          <w:sz w:val="24"/>
          <w:szCs w:val="24"/>
        </w:rPr>
        <w:t xml:space="preserve">access to electricity, however, due to economic status they have no option but to </w:t>
      </w:r>
      <w:r w:rsidRPr="006569FC">
        <w:rPr>
          <w:rFonts w:ascii="Times New Roman" w:eastAsia="Batang" w:hAnsi="Times New Roman" w:cs="Times New Roman"/>
          <w:color w:val="000000" w:themeColor="text1"/>
          <w:sz w:val="24"/>
          <w:szCs w:val="24"/>
        </w:rPr>
        <w:lastRenderedPageBreak/>
        <w:t>use other sources of electricity such as kerosene, charco</w:t>
      </w:r>
      <w:r>
        <w:rPr>
          <w:rFonts w:ascii="Times New Roman" w:eastAsia="Batang" w:hAnsi="Times New Roman" w:cs="Times New Roman"/>
          <w:color w:val="000000" w:themeColor="text1"/>
          <w:sz w:val="24"/>
          <w:szCs w:val="24"/>
        </w:rPr>
        <w:t>al, woods, etc.  There are 16,998</w:t>
      </w:r>
      <w:r w:rsidRPr="006569FC">
        <w:rPr>
          <w:rFonts w:ascii="Times New Roman" w:eastAsia="Batang" w:hAnsi="Times New Roman" w:cs="Times New Roman"/>
          <w:color w:val="000000" w:themeColor="text1"/>
          <w:sz w:val="24"/>
          <w:szCs w:val="24"/>
        </w:rPr>
        <w:t xml:space="preserve"> households or </w:t>
      </w:r>
      <w:r>
        <w:rPr>
          <w:rFonts w:ascii="Times New Roman" w:eastAsia="Batang" w:hAnsi="Times New Roman" w:cs="Times New Roman"/>
          <w:color w:val="000000" w:themeColor="text1"/>
          <w:sz w:val="24"/>
          <w:szCs w:val="24"/>
        </w:rPr>
        <w:t>95.52</w:t>
      </w:r>
      <w:r w:rsidRPr="006569FC">
        <w:rPr>
          <w:rFonts w:ascii="Times New Roman" w:eastAsia="Batang" w:hAnsi="Times New Roman" w:cs="Times New Roman"/>
          <w:color w:val="000000" w:themeColor="text1"/>
          <w:sz w:val="24"/>
          <w:szCs w:val="24"/>
        </w:rPr>
        <w:t xml:space="preserve"> percent </w:t>
      </w:r>
      <w:proofErr w:type="gramStart"/>
      <w:r w:rsidRPr="006569FC">
        <w:rPr>
          <w:rFonts w:ascii="Times New Roman" w:eastAsia="Batang" w:hAnsi="Times New Roman" w:cs="Times New Roman"/>
          <w:color w:val="000000" w:themeColor="text1"/>
          <w:sz w:val="24"/>
          <w:szCs w:val="24"/>
        </w:rPr>
        <w:t>have</w:t>
      </w:r>
      <w:proofErr w:type="gramEnd"/>
      <w:r w:rsidRPr="006569FC">
        <w:rPr>
          <w:rFonts w:ascii="Times New Roman" w:eastAsia="Batang" w:hAnsi="Times New Roman" w:cs="Times New Roman"/>
          <w:color w:val="000000" w:themeColor="text1"/>
          <w:sz w:val="24"/>
          <w:szCs w:val="24"/>
        </w:rPr>
        <w:t xml:space="preserve"> water-sealed toilets and </w:t>
      </w:r>
      <w:r>
        <w:rPr>
          <w:rFonts w:ascii="Times New Roman" w:eastAsia="Batang" w:hAnsi="Times New Roman" w:cs="Times New Roman"/>
          <w:color w:val="000000" w:themeColor="text1"/>
          <w:sz w:val="24"/>
          <w:szCs w:val="24"/>
        </w:rPr>
        <w:t>787 or 4.48 percent</w:t>
      </w:r>
      <w:r w:rsidRPr="006569FC">
        <w:rPr>
          <w:rFonts w:ascii="Times New Roman" w:eastAsia="Batang" w:hAnsi="Times New Roman" w:cs="Times New Roman"/>
          <w:color w:val="000000" w:themeColor="text1"/>
          <w:sz w:val="24"/>
          <w:szCs w:val="24"/>
        </w:rPr>
        <w:t xml:space="preserve"> have none</w:t>
      </w:r>
      <w:r>
        <w:rPr>
          <w:rFonts w:ascii="Times New Roman" w:eastAsia="Batang" w:hAnsi="Times New Roman" w:cs="Times New Roman"/>
          <w:color w:val="000000" w:themeColor="text1"/>
          <w:sz w:val="24"/>
          <w:szCs w:val="24"/>
        </w:rPr>
        <w:t xml:space="preserve"> (unsanitary toilet facilities)</w:t>
      </w:r>
      <w:r w:rsidRPr="006569FC">
        <w:rPr>
          <w:rFonts w:ascii="Times New Roman" w:eastAsia="Batang" w:hAnsi="Times New Roman" w:cs="Times New Roman"/>
          <w:color w:val="000000" w:themeColor="text1"/>
          <w:sz w:val="24"/>
          <w:szCs w:val="24"/>
        </w:rPr>
        <w:t>.</w:t>
      </w:r>
      <w:r>
        <w:rPr>
          <w:rFonts w:ascii="Times New Roman" w:eastAsia="Batang" w:hAnsi="Times New Roman" w:cs="Times New Roman"/>
          <w:color w:val="000000" w:themeColor="text1"/>
          <w:sz w:val="24"/>
          <w:szCs w:val="24"/>
        </w:rPr>
        <w:t xml:space="preserve"> .  There are 16,655</w:t>
      </w:r>
      <w:r w:rsidRPr="006569FC">
        <w:rPr>
          <w:rFonts w:ascii="Times New Roman" w:eastAsia="Batang" w:hAnsi="Times New Roman" w:cs="Times New Roman"/>
          <w:color w:val="000000" w:themeColor="text1"/>
          <w:sz w:val="24"/>
          <w:szCs w:val="24"/>
        </w:rPr>
        <w:t xml:space="preserve"> households or </w:t>
      </w:r>
      <w:r>
        <w:rPr>
          <w:rFonts w:ascii="Times New Roman" w:eastAsia="Batang" w:hAnsi="Times New Roman" w:cs="Times New Roman"/>
          <w:color w:val="000000" w:themeColor="text1"/>
          <w:sz w:val="24"/>
          <w:szCs w:val="24"/>
        </w:rPr>
        <w:t>93.64</w:t>
      </w:r>
      <w:r w:rsidRPr="006569FC">
        <w:rPr>
          <w:rFonts w:ascii="Times New Roman" w:eastAsia="Batang" w:hAnsi="Times New Roman" w:cs="Times New Roman"/>
          <w:color w:val="000000" w:themeColor="text1"/>
          <w:sz w:val="24"/>
          <w:szCs w:val="24"/>
        </w:rPr>
        <w:t xml:space="preserve"> percent </w:t>
      </w:r>
      <w:proofErr w:type="gramStart"/>
      <w:r w:rsidRPr="006569FC">
        <w:rPr>
          <w:rFonts w:ascii="Times New Roman" w:eastAsia="Batang" w:hAnsi="Times New Roman" w:cs="Times New Roman"/>
          <w:color w:val="000000" w:themeColor="text1"/>
          <w:sz w:val="24"/>
          <w:szCs w:val="24"/>
        </w:rPr>
        <w:t>have</w:t>
      </w:r>
      <w:proofErr w:type="gramEnd"/>
      <w:r w:rsidRPr="006569FC">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satisfactory garbage disposal</w:t>
      </w:r>
      <w:r w:rsidRPr="006569FC">
        <w:rPr>
          <w:rFonts w:ascii="Times New Roman" w:eastAsia="Batang" w:hAnsi="Times New Roman" w:cs="Times New Roman"/>
          <w:color w:val="000000" w:themeColor="text1"/>
          <w:sz w:val="24"/>
          <w:szCs w:val="24"/>
        </w:rPr>
        <w:t xml:space="preserve"> and </w:t>
      </w:r>
      <w:r>
        <w:rPr>
          <w:rFonts w:ascii="Times New Roman" w:eastAsia="Batang" w:hAnsi="Times New Roman" w:cs="Times New Roman"/>
          <w:color w:val="000000" w:themeColor="text1"/>
          <w:sz w:val="24"/>
          <w:szCs w:val="24"/>
        </w:rPr>
        <w:t>1,130 or 6.36 percent</w:t>
      </w:r>
      <w:r w:rsidRPr="006569FC">
        <w:rPr>
          <w:rFonts w:ascii="Times New Roman" w:eastAsia="Batang" w:hAnsi="Times New Roman" w:cs="Times New Roman"/>
          <w:color w:val="000000" w:themeColor="text1"/>
          <w:sz w:val="24"/>
          <w:szCs w:val="24"/>
        </w:rPr>
        <w:t xml:space="preserve"> have none</w:t>
      </w:r>
      <w:r>
        <w:rPr>
          <w:rFonts w:ascii="Times New Roman" w:eastAsia="Batang" w:hAnsi="Times New Roman" w:cs="Times New Roman"/>
          <w:color w:val="000000" w:themeColor="text1"/>
          <w:sz w:val="24"/>
          <w:szCs w:val="24"/>
        </w:rPr>
        <w:t xml:space="preserve"> (unsatisfactory).</w:t>
      </w:r>
    </w:p>
    <w:p w:rsidR="00321504" w:rsidRDefault="00321504" w:rsidP="00321504">
      <w:pPr>
        <w:pStyle w:val="ListParagraph"/>
        <w:ind w:left="1440"/>
        <w:jc w:val="both"/>
        <w:rPr>
          <w:rFonts w:ascii="Times New Roman" w:eastAsia="Batang" w:hAnsi="Times New Roman" w:cs="Times New Roman"/>
          <w:color w:val="FF0000"/>
          <w:sz w:val="24"/>
          <w:szCs w:val="24"/>
        </w:rPr>
      </w:pPr>
    </w:p>
    <w:p w:rsidR="00321504" w:rsidRPr="00B76181" w:rsidRDefault="00321504" w:rsidP="00321504">
      <w:pPr>
        <w:pStyle w:val="ListParagraph"/>
        <w:spacing w:after="0" w:line="240" w:lineRule="auto"/>
        <w:ind w:left="1440"/>
        <w:jc w:val="center"/>
        <w:rPr>
          <w:rFonts w:ascii="Times New Roman" w:eastAsia="Batang" w:hAnsi="Times New Roman" w:cs="Times New Roman"/>
          <w:b/>
          <w:color w:val="000000" w:themeColor="text1"/>
          <w:sz w:val="24"/>
          <w:szCs w:val="24"/>
        </w:rPr>
      </w:pPr>
      <w:r w:rsidRPr="00B76181">
        <w:rPr>
          <w:rFonts w:ascii="Times New Roman" w:eastAsia="Batang" w:hAnsi="Times New Roman" w:cs="Times New Roman"/>
          <w:b/>
          <w:color w:val="000000" w:themeColor="text1"/>
          <w:sz w:val="24"/>
          <w:szCs w:val="24"/>
        </w:rPr>
        <w:t>Table 4</w:t>
      </w:r>
      <w:r>
        <w:rPr>
          <w:rFonts w:ascii="Times New Roman" w:eastAsia="Batang" w:hAnsi="Times New Roman" w:cs="Times New Roman"/>
          <w:b/>
          <w:color w:val="000000" w:themeColor="text1"/>
          <w:sz w:val="24"/>
          <w:szCs w:val="24"/>
        </w:rPr>
        <w:t>6</w:t>
      </w:r>
      <w:r w:rsidRPr="00B76181">
        <w:rPr>
          <w:rFonts w:ascii="Times New Roman" w:eastAsia="Batang" w:hAnsi="Times New Roman" w:cs="Times New Roman"/>
          <w:b/>
          <w:color w:val="000000" w:themeColor="text1"/>
          <w:sz w:val="24"/>
          <w:szCs w:val="24"/>
        </w:rPr>
        <w:t>: Housing Facilities and Utilities Situation</w:t>
      </w:r>
    </w:p>
    <w:tbl>
      <w:tblPr>
        <w:tblStyle w:val="TableGrid"/>
        <w:tblW w:w="0" w:type="auto"/>
        <w:tblInd w:w="2234" w:type="dxa"/>
        <w:tblLook w:val="04A0" w:firstRow="1" w:lastRow="0" w:firstColumn="1" w:lastColumn="0" w:noHBand="0" w:noVBand="1"/>
      </w:tblPr>
      <w:tblGrid>
        <w:gridCol w:w="3096"/>
        <w:gridCol w:w="1263"/>
        <w:gridCol w:w="756"/>
        <w:gridCol w:w="1263"/>
        <w:gridCol w:w="756"/>
      </w:tblGrid>
      <w:tr w:rsidR="00321504" w:rsidRPr="00B76181" w:rsidTr="00B66822">
        <w:trPr>
          <w:trHeight w:val="562"/>
        </w:trPr>
        <w:tc>
          <w:tcPr>
            <w:tcW w:w="0" w:type="auto"/>
            <w:vAlign w:val="center"/>
          </w:tcPr>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4B5335">
              <w:rPr>
                <w:rFonts w:ascii="Times New Roman" w:eastAsia="Batang" w:hAnsi="Times New Roman" w:cs="Times New Roman"/>
                <w:b/>
                <w:color w:val="000000" w:themeColor="text1"/>
                <w:sz w:val="24"/>
                <w:szCs w:val="24"/>
              </w:rPr>
              <w:t>Facilities/Utilities</w:t>
            </w:r>
          </w:p>
        </w:tc>
        <w:tc>
          <w:tcPr>
            <w:tcW w:w="0" w:type="auto"/>
            <w:vAlign w:val="center"/>
          </w:tcPr>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4B5335">
              <w:rPr>
                <w:rFonts w:ascii="Times New Roman" w:eastAsia="Batang" w:hAnsi="Times New Roman" w:cs="Times New Roman"/>
                <w:b/>
                <w:color w:val="000000" w:themeColor="text1"/>
                <w:sz w:val="24"/>
                <w:szCs w:val="24"/>
              </w:rPr>
              <w:t>No. of HH</w:t>
            </w:r>
          </w:p>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4B5335">
              <w:rPr>
                <w:rFonts w:ascii="Times New Roman" w:eastAsia="Batang" w:hAnsi="Times New Roman" w:cs="Times New Roman"/>
                <w:b/>
                <w:color w:val="000000" w:themeColor="text1"/>
                <w:sz w:val="24"/>
                <w:szCs w:val="24"/>
              </w:rPr>
              <w:t>Served</w:t>
            </w:r>
          </w:p>
        </w:tc>
        <w:tc>
          <w:tcPr>
            <w:tcW w:w="0" w:type="auto"/>
            <w:vAlign w:val="center"/>
          </w:tcPr>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4B5335">
              <w:rPr>
                <w:rFonts w:ascii="Times New Roman" w:eastAsia="Batang" w:hAnsi="Times New Roman" w:cs="Times New Roman"/>
                <w:b/>
                <w:color w:val="000000" w:themeColor="text1"/>
                <w:sz w:val="24"/>
                <w:szCs w:val="24"/>
              </w:rPr>
              <w:t>%</w:t>
            </w:r>
          </w:p>
        </w:tc>
        <w:tc>
          <w:tcPr>
            <w:tcW w:w="0" w:type="auto"/>
            <w:vAlign w:val="center"/>
          </w:tcPr>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4B5335">
              <w:rPr>
                <w:rFonts w:ascii="Times New Roman" w:eastAsia="Batang" w:hAnsi="Times New Roman" w:cs="Times New Roman"/>
                <w:b/>
                <w:color w:val="000000" w:themeColor="text1"/>
                <w:sz w:val="24"/>
                <w:szCs w:val="24"/>
              </w:rPr>
              <w:t>No. of HH</w:t>
            </w:r>
          </w:p>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proofErr w:type="spellStart"/>
            <w:r w:rsidRPr="004B5335">
              <w:rPr>
                <w:rFonts w:ascii="Times New Roman" w:eastAsia="Batang" w:hAnsi="Times New Roman" w:cs="Times New Roman"/>
                <w:b/>
                <w:color w:val="000000" w:themeColor="text1"/>
                <w:sz w:val="24"/>
                <w:szCs w:val="24"/>
              </w:rPr>
              <w:t>Unserved</w:t>
            </w:r>
            <w:proofErr w:type="spellEnd"/>
          </w:p>
        </w:tc>
        <w:tc>
          <w:tcPr>
            <w:tcW w:w="0" w:type="auto"/>
            <w:vAlign w:val="center"/>
          </w:tcPr>
          <w:p w:rsidR="00321504" w:rsidRPr="004B533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4B5335">
              <w:rPr>
                <w:rFonts w:ascii="Times New Roman" w:eastAsia="Batang" w:hAnsi="Times New Roman" w:cs="Times New Roman"/>
                <w:b/>
                <w:color w:val="000000" w:themeColor="text1"/>
                <w:sz w:val="24"/>
                <w:szCs w:val="24"/>
              </w:rPr>
              <w:t>%</w:t>
            </w:r>
          </w:p>
        </w:tc>
      </w:tr>
      <w:tr w:rsidR="00321504" w:rsidRPr="00B76181" w:rsidTr="00B66822">
        <w:trPr>
          <w:trHeight w:val="432"/>
        </w:trPr>
        <w:tc>
          <w:tcPr>
            <w:tcW w:w="0" w:type="auto"/>
            <w:vAlign w:val="center"/>
          </w:tcPr>
          <w:p w:rsidR="00321504" w:rsidRPr="00B76181" w:rsidRDefault="00321504" w:rsidP="00B66822">
            <w:pPr>
              <w:spacing w:after="0" w:line="240" w:lineRule="auto"/>
              <w:contextualSpacing/>
              <w:rPr>
                <w:rFonts w:ascii="Times New Roman" w:eastAsia="Batang" w:hAnsi="Times New Roman" w:cs="Times New Roman"/>
                <w:color w:val="000000" w:themeColor="text1"/>
                <w:sz w:val="24"/>
                <w:szCs w:val="24"/>
              </w:rPr>
            </w:pPr>
            <w:r w:rsidRPr="00B76181">
              <w:rPr>
                <w:rFonts w:ascii="Times New Roman" w:eastAsia="Batang" w:hAnsi="Times New Roman" w:cs="Times New Roman"/>
                <w:color w:val="000000" w:themeColor="text1"/>
                <w:sz w:val="24"/>
                <w:szCs w:val="24"/>
              </w:rPr>
              <w:t>1. Water Supply</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16,903</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95.04</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882</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4.96</w:t>
            </w:r>
          </w:p>
        </w:tc>
      </w:tr>
      <w:tr w:rsidR="00321504" w:rsidRPr="00B76181" w:rsidTr="00B66822">
        <w:trPr>
          <w:trHeight w:val="432"/>
        </w:trPr>
        <w:tc>
          <w:tcPr>
            <w:tcW w:w="0" w:type="auto"/>
            <w:vAlign w:val="center"/>
          </w:tcPr>
          <w:p w:rsidR="00321504" w:rsidRPr="00B76181" w:rsidRDefault="00321504" w:rsidP="00B66822">
            <w:pPr>
              <w:spacing w:after="0" w:line="240" w:lineRule="auto"/>
              <w:contextualSpacing/>
              <w:rPr>
                <w:rFonts w:ascii="Times New Roman" w:eastAsia="Batang" w:hAnsi="Times New Roman" w:cs="Times New Roman"/>
                <w:color w:val="000000" w:themeColor="text1"/>
                <w:sz w:val="24"/>
                <w:szCs w:val="24"/>
              </w:rPr>
            </w:pPr>
            <w:r w:rsidRPr="00B76181">
              <w:rPr>
                <w:rFonts w:ascii="Times New Roman" w:eastAsia="Batang" w:hAnsi="Times New Roman" w:cs="Times New Roman"/>
                <w:color w:val="000000" w:themeColor="text1"/>
                <w:sz w:val="24"/>
                <w:szCs w:val="24"/>
              </w:rPr>
              <w:t>2. Electricity</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16,159</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77.48</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4,696</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22.52</w:t>
            </w:r>
          </w:p>
        </w:tc>
      </w:tr>
      <w:tr w:rsidR="00321504" w:rsidRPr="00B76181" w:rsidTr="00B66822">
        <w:trPr>
          <w:trHeight w:val="432"/>
        </w:trPr>
        <w:tc>
          <w:tcPr>
            <w:tcW w:w="0" w:type="auto"/>
            <w:vAlign w:val="center"/>
          </w:tcPr>
          <w:p w:rsidR="00321504" w:rsidRPr="00B76181" w:rsidRDefault="00321504" w:rsidP="00B66822">
            <w:pPr>
              <w:spacing w:after="0" w:line="240" w:lineRule="auto"/>
              <w:contextualSpacing/>
              <w:rPr>
                <w:rFonts w:ascii="Times New Roman" w:eastAsia="Batang" w:hAnsi="Times New Roman" w:cs="Times New Roman"/>
                <w:color w:val="000000" w:themeColor="text1"/>
                <w:sz w:val="24"/>
                <w:szCs w:val="24"/>
              </w:rPr>
            </w:pPr>
            <w:r w:rsidRPr="00B76181">
              <w:rPr>
                <w:rFonts w:ascii="Times New Roman" w:eastAsia="Batang" w:hAnsi="Times New Roman" w:cs="Times New Roman"/>
                <w:color w:val="000000" w:themeColor="text1"/>
                <w:sz w:val="24"/>
                <w:szCs w:val="24"/>
              </w:rPr>
              <w:t>3. Water-Sealed Toilets</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16,998</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95.52</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787</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4.48</w:t>
            </w:r>
          </w:p>
        </w:tc>
      </w:tr>
      <w:tr w:rsidR="00321504" w:rsidRPr="00B76181" w:rsidTr="00B66822">
        <w:trPr>
          <w:trHeight w:val="432"/>
        </w:trPr>
        <w:tc>
          <w:tcPr>
            <w:tcW w:w="0" w:type="auto"/>
            <w:vAlign w:val="center"/>
          </w:tcPr>
          <w:p w:rsidR="00321504" w:rsidRPr="00B76181" w:rsidRDefault="00321504" w:rsidP="00B66822">
            <w:pPr>
              <w:spacing w:after="0" w:line="240" w:lineRule="auto"/>
              <w:contextualSpacing/>
              <w:rPr>
                <w:rFonts w:ascii="Times New Roman" w:eastAsia="Batang" w:hAnsi="Times New Roman" w:cs="Times New Roman"/>
                <w:color w:val="000000" w:themeColor="text1"/>
                <w:sz w:val="24"/>
                <w:szCs w:val="24"/>
              </w:rPr>
            </w:pPr>
            <w:r w:rsidRPr="00B76181">
              <w:rPr>
                <w:rFonts w:ascii="Times New Roman" w:eastAsia="Batang" w:hAnsi="Times New Roman" w:cs="Times New Roman"/>
                <w:color w:val="000000" w:themeColor="text1"/>
                <w:sz w:val="24"/>
                <w:szCs w:val="24"/>
              </w:rPr>
              <w:t>4. Garbage Collection System</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16,655</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93.64</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1,130</w:t>
            </w:r>
          </w:p>
        </w:tc>
        <w:tc>
          <w:tcPr>
            <w:tcW w:w="0" w:type="auto"/>
            <w:vAlign w:val="center"/>
          </w:tcPr>
          <w:p w:rsidR="00321504" w:rsidRPr="00B76181"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6.36</w:t>
            </w:r>
          </w:p>
        </w:tc>
      </w:tr>
    </w:tbl>
    <w:p w:rsidR="00321504" w:rsidRDefault="00321504" w:rsidP="00321504">
      <w:pPr>
        <w:spacing w:after="0" w:line="240" w:lineRule="auto"/>
        <w:contextualSpacing/>
        <w:jc w:val="both"/>
        <w:rPr>
          <w:rFonts w:ascii="Times New Roman" w:eastAsia="Batang" w:hAnsi="Times New Roman" w:cs="Times New Roman"/>
          <w:i/>
          <w:color w:val="000000" w:themeColor="text1"/>
          <w:sz w:val="20"/>
          <w:szCs w:val="20"/>
        </w:rPr>
      </w:pPr>
      <w:r w:rsidRPr="00B76181">
        <w:rPr>
          <w:rFonts w:ascii="Times New Roman" w:eastAsia="Batang" w:hAnsi="Times New Roman" w:cs="Times New Roman"/>
          <w:color w:val="000000" w:themeColor="text1"/>
          <w:sz w:val="24"/>
          <w:szCs w:val="24"/>
        </w:rPr>
        <w:tab/>
      </w:r>
      <w:r w:rsidRPr="00B76181">
        <w:rPr>
          <w:rFonts w:ascii="Times New Roman" w:eastAsia="Batang" w:hAnsi="Times New Roman" w:cs="Times New Roman"/>
          <w:color w:val="000000" w:themeColor="text1"/>
          <w:sz w:val="24"/>
          <w:szCs w:val="24"/>
        </w:rPr>
        <w:tab/>
      </w:r>
      <w:r>
        <w:rPr>
          <w:rFonts w:ascii="Times New Roman" w:eastAsia="Batang" w:hAnsi="Times New Roman" w:cs="Times New Roman"/>
          <w:color w:val="000000" w:themeColor="text1"/>
          <w:sz w:val="24"/>
          <w:szCs w:val="24"/>
        </w:rPr>
        <w:tab/>
      </w:r>
      <w:r w:rsidRPr="00B76181">
        <w:rPr>
          <w:rFonts w:ascii="Times New Roman" w:eastAsia="Batang" w:hAnsi="Times New Roman" w:cs="Times New Roman"/>
          <w:i/>
          <w:color w:val="000000" w:themeColor="text1"/>
          <w:sz w:val="20"/>
          <w:szCs w:val="20"/>
        </w:rPr>
        <w:t xml:space="preserve">      Source: Municipal Health Office</w:t>
      </w:r>
    </w:p>
    <w:p w:rsidR="00321504" w:rsidRPr="001646C6" w:rsidRDefault="00321504" w:rsidP="00321504">
      <w:pPr>
        <w:spacing w:after="0" w:line="240" w:lineRule="auto"/>
        <w:contextualSpacing/>
        <w:jc w:val="both"/>
        <w:rPr>
          <w:rFonts w:ascii="Times New Roman" w:eastAsia="Batang" w:hAnsi="Times New Roman" w:cs="Times New Roman"/>
          <w:i/>
          <w:color w:val="000000" w:themeColor="text1"/>
          <w:sz w:val="20"/>
          <w:szCs w:val="20"/>
        </w:rPr>
      </w:pPr>
    </w:p>
    <w:p w:rsidR="00321504" w:rsidRDefault="00321504" w:rsidP="00321504">
      <w:pPr>
        <w:ind w:firstLine="720"/>
        <w:jc w:val="both"/>
        <w:rPr>
          <w:rFonts w:ascii="Times New Roman" w:eastAsia="Batang" w:hAnsi="Times New Roman" w:cs="Times New Roman"/>
          <w:b/>
          <w:i/>
          <w:color w:val="000000" w:themeColor="text1"/>
          <w:sz w:val="24"/>
          <w:szCs w:val="24"/>
        </w:rPr>
      </w:pPr>
    </w:p>
    <w:p w:rsidR="00321504" w:rsidRPr="001646C6" w:rsidRDefault="00321504" w:rsidP="00321504">
      <w:pPr>
        <w:ind w:left="720" w:firstLine="720"/>
        <w:jc w:val="both"/>
        <w:rPr>
          <w:rFonts w:ascii="Times New Roman" w:eastAsia="Batang" w:hAnsi="Times New Roman" w:cs="Times New Roman"/>
          <w:b/>
          <w:i/>
          <w:color w:val="000000" w:themeColor="text1"/>
          <w:sz w:val="24"/>
          <w:szCs w:val="24"/>
        </w:rPr>
      </w:pPr>
      <w:r w:rsidRPr="001646C6">
        <w:rPr>
          <w:rFonts w:ascii="Times New Roman" w:eastAsia="Batang" w:hAnsi="Times New Roman" w:cs="Times New Roman"/>
          <w:b/>
          <w:i/>
          <w:color w:val="000000" w:themeColor="text1"/>
          <w:sz w:val="24"/>
          <w:szCs w:val="24"/>
        </w:rPr>
        <w:t xml:space="preserve">Occupied Housing Units </w:t>
      </w:r>
      <w:r>
        <w:rPr>
          <w:rFonts w:ascii="Times New Roman" w:eastAsia="Batang" w:hAnsi="Times New Roman" w:cs="Times New Roman"/>
          <w:b/>
          <w:i/>
          <w:color w:val="000000" w:themeColor="text1"/>
          <w:sz w:val="24"/>
          <w:szCs w:val="24"/>
        </w:rPr>
        <w:t>b</w:t>
      </w:r>
      <w:r w:rsidRPr="001646C6">
        <w:rPr>
          <w:rFonts w:ascii="Times New Roman" w:eastAsia="Batang" w:hAnsi="Times New Roman" w:cs="Times New Roman"/>
          <w:b/>
          <w:i/>
          <w:color w:val="000000" w:themeColor="text1"/>
          <w:sz w:val="24"/>
          <w:szCs w:val="24"/>
        </w:rPr>
        <w:t>y Tenure, Status of Housing Units and Year Built</w:t>
      </w:r>
    </w:p>
    <w:p w:rsidR="00321504" w:rsidRPr="00526EB3" w:rsidRDefault="00321504" w:rsidP="00321504">
      <w:pPr>
        <w:spacing w:line="360" w:lineRule="auto"/>
        <w:ind w:left="1440"/>
        <w:jc w:val="both"/>
        <w:rPr>
          <w:rFonts w:ascii="Times New Roman" w:eastAsia="Batang" w:hAnsi="Times New Roman" w:cs="Times New Roman"/>
          <w:color w:val="000000" w:themeColor="text1"/>
          <w:sz w:val="24"/>
          <w:szCs w:val="24"/>
        </w:rPr>
      </w:pPr>
      <w:r w:rsidRPr="001646C6">
        <w:rPr>
          <w:rFonts w:ascii="Times New Roman" w:eastAsia="Batang" w:hAnsi="Times New Roman" w:cs="Times New Roman"/>
          <w:color w:val="000000" w:themeColor="text1"/>
          <w:sz w:val="24"/>
          <w:szCs w:val="24"/>
        </w:rPr>
        <w:t>The 2007 Census of the National Statistics Board (NSCB) on the households by tenure status of the lot shows that 18,572 occupied housing units 16,166 or 90% are owned or being amortized, 763 or 4.10 are rented, 1,430 or 7.69 are rent-free with consent of owner, 33 or 0.17 are rent-free without consent, 9 or 0.04 are not applicable and 171 or 0.92 are not reported.</w:t>
      </w:r>
    </w:p>
    <w:p w:rsidR="00321504" w:rsidRPr="004B5335" w:rsidRDefault="00321504" w:rsidP="00321504">
      <w:pPr>
        <w:pStyle w:val="ListParagraph"/>
        <w:spacing w:after="0" w:line="240" w:lineRule="auto"/>
        <w:ind w:left="2160"/>
        <w:jc w:val="both"/>
        <w:rPr>
          <w:rFonts w:ascii="Times New Roman" w:eastAsia="Batang" w:hAnsi="Times New Roman" w:cs="Times New Roman"/>
          <w:color w:val="000000" w:themeColor="text1"/>
          <w:sz w:val="24"/>
          <w:szCs w:val="24"/>
        </w:rPr>
      </w:pPr>
      <w:r>
        <w:rPr>
          <w:rFonts w:ascii="Times New Roman" w:eastAsia="Batang" w:hAnsi="Times New Roman" w:cs="Times New Roman"/>
          <w:b/>
          <w:color w:val="000000"/>
          <w:sz w:val="24"/>
          <w:szCs w:val="24"/>
        </w:rPr>
        <w:t xml:space="preserve">       </w:t>
      </w:r>
      <w:r w:rsidRPr="00F51DE8">
        <w:rPr>
          <w:rFonts w:ascii="Times New Roman" w:eastAsia="Batang" w:hAnsi="Times New Roman" w:cs="Times New Roman"/>
          <w:b/>
          <w:color w:val="000000"/>
          <w:sz w:val="24"/>
          <w:szCs w:val="24"/>
        </w:rPr>
        <w:t>Table 4</w:t>
      </w:r>
      <w:r>
        <w:rPr>
          <w:rFonts w:ascii="Times New Roman" w:eastAsia="Batang" w:hAnsi="Times New Roman" w:cs="Times New Roman"/>
          <w:b/>
          <w:color w:val="000000"/>
          <w:sz w:val="24"/>
          <w:szCs w:val="24"/>
        </w:rPr>
        <w:t>7</w:t>
      </w:r>
      <w:r w:rsidRPr="00F51DE8">
        <w:rPr>
          <w:rFonts w:ascii="Times New Roman" w:eastAsia="Batang" w:hAnsi="Times New Roman" w:cs="Times New Roman"/>
          <w:b/>
          <w:color w:val="000000"/>
          <w:sz w:val="24"/>
          <w:szCs w:val="24"/>
        </w:rPr>
        <w:t xml:space="preserve">: Number of Households by </w:t>
      </w:r>
      <w:r>
        <w:rPr>
          <w:rFonts w:ascii="Times New Roman" w:eastAsia="Batang" w:hAnsi="Times New Roman" w:cs="Times New Roman"/>
          <w:b/>
          <w:color w:val="000000"/>
          <w:sz w:val="24"/>
          <w:szCs w:val="24"/>
        </w:rPr>
        <w:t>Tenure Status of the Lot</w:t>
      </w:r>
    </w:p>
    <w:tbl>
      <w:tblPr>
        <w:tblStyle w:val="TableGrid1"/>
        <w:tblW w:w="7920" w:type="dxa"/>
        <w:tblInd w:w="1818" w:type="dxa"/>
        <w:tblLayout w:type="fixed"/>
        <w:tblLook w:val="04A0" w:firstRow="1" w:lastRow="0" w:firstColumn="1" w:lastColumn="0" w:noHBand="0" w:noVBand="1"/>
      </w:tblPr>
      <w:tblGrid>
        <w:gridCol w:w="3870"/>
        <w:gridCol w:w="1620"/>
        <w:gridCol w:w="2430"/>
      </w:tblGrid>
      <w:tr w:rsidR="00321504" w:rsidRPr="007D040E" w:rsidTr="00B66822">
        <w:trPr>
          <w:trHeight w:val="675"/>
        </w:trPr>
        <w:tc>
          <w:tcPr>
            <w:tcW w:w="3870" w:type="dxa"/>
            <w:vAlign w:val="center"/>
            <w:hideMark/>
          </w:tcPr>
          <w:p w:rsidR="00321504" w:rsidRPr="00951B59" w:rsidRDefault="00321504" w:rsidP="00B66822">
            <w:pPr>
              <w:spacing w:after="0" w:line="240" w:lineRule="auto"/>
              <w:contextualSpacing/>
              <w:jc w:val="center"/>
              <w:rPr>
                <w:rFonts w:ascii="Times New Roman" w:eastAsia="Batang" w:hAnsi="Times New Roman" w:cs="Times New Roman"/>
                <w:b/>
                <w:color w:val="000000"/>
                <w:sz w:val="24"/>
                <w:szCs w:val="24"/>
              </w:rPr>
            </w:pPr>
            <w:r w:rsidRPr="00951B59">
              <w:rPr>
                <w:rFonts w:ascii="Times New Roman" w:eastAsia="Batang" w:hAnsi="Times New Roman" w:cs="Times New Roman"/>
                <w:b/>
                <w:color w:val="000000"/>
                <w:sz w:val="24"/>
                <w:szCs w:val="24"/>
              </w:rPr>
              <w:t>Tenure Status of the Lot</w:t>
            </w:r>
          </w:p>
        </w:tc>
        <w:tc>
          <w:tcPr>
            <w:tcW w:w="1620" w:type="dxa"/>
            <w:vAlign w:val="center"/>
            <w:hideMark/>
          </w:tcPr>
          <w:p w:rsidR="00321504" w:rsidRPr="00951B59" w:rsidRDefault="00321504" w:rsidP="00B66822">
            <w:pPr>
              <w:spacing w:after="0" w:line="240" w:lineRule="auto"/>
              <w:contextualSpacing/>
              <w:jc w:val="center"/>
              <w:rPr>
                <w:rFonts w:ascii="Times New Roman" w:eastAsia="Batang" w:hAnsi="Times New Roman" w:cs="Times New Roman"/>
                <w:b/>
                <w:color w:val="000000"/>
                <w:sz w:val="24"/>
                <w:szCs w:val="24"/>
              </w:rPr>
            </w:pPr>
            <w:r w:rsidRPr="00951B59">
              <w:rPr>
                <w:rFonts w:ascii="Times New Roman" w:eastAsia="Batang" w:hAnsi="Times New Roman" w:cs="Times New Roman"/>
                <w:b/>
                <w:color w:val="000000"/>
                <w:sz w:val="24"/>
                <w:szCs w:val="24"/>
              </w:rPr>
              <w:t>Total Households</w:t>
            </w:r>
          </w:p>
        </w:tc>
        <w:tc>
          <w:tcPr>
            <w:tcW w:w="2430" w:type="dxa"/>
            <w:vAlign w:val="center"/>
            <w:hideMark/>
          </w:tcPr>
          <w:p w:rsidR="00321504" w:rsidRPr="00951B59" w:rsidRDefault="00321504" w:rsidP="00B66822">
            <w:pPr>
              <w:spacing w:after="0" w:line="240" w:lineRule="auto"/>
              <w:contextualSpacing/>
              <w:jc w:val="center"/>
              <w:rPr>
                <w:rFonts w:ascii="Times New Roman" w:eastAsia="Batang" w:hAnsi="Times New Roman" w:cs="Times New Roman"/>
                <w:b/>
                <w:color w:val="000000"/>
                <w:sz w:val="24"/>
                <w:szCs w:val="24"/>
              </w:rPr>
            </w:pPr>
            <w:r w:rsidRPr="00951B59">
              <w:rPr>
                <w:rFonts w:ascii="Times New Roman" w:eastAsia="Batang" w:hAnsi="Times New Roman" w:cs="Times New Roman"/>
                <w:b/>
                <w:color w:val="000000"/>
                <w:sz w:val="24"/>
                <w:szCs w:val="24"/>
              </w:rPr>
              <w:t>Tenure Status of Lot</w:t>
            </w:r>
          </w:p>
        </w:tc>
      </w:tr>
      <w:tr w:rsidR="00321504" w:rsidRPr="007D040E" w:rsidTr="00B66822">
        <w:trPr>
          <w:trHeight w:val="288"/>
        </w:trPr>
        <w:tc>
          <w:tcPr>
            <w:tcW w:w="3870" w:type="dxa"/>
            <w:noWrap/>
            <w:hideMark/>
          </w:tcPr>
          <w:p w:rsidR="00321504" w:rsidRPr="007D040E" w:rsidRDefault="00321504" w:rsidP="00B66822">
            <w:pPr>
              <w:spacing w:after="0" w:line="240" w:lineRule="auto"/>
              <w:contextualSpacing/>
              <w:rPr>
                <w:rFonts w:ascii="Times New Roman" w:eastAsia="Batang" w:hAnsi="Times New Roman" w:cs="Times New Roman"/>
                <w:color w:val="000000"/>
                <w:sz w:val="24"/>
                <w:szCs w:val="24"/>
              </w:rPr>
            </w:pPr>
            <w:r w:rsidRPr="007D040E">
              <w:rPr>
                <w:rFonts w:ascii="Times New Roman" w:eastAsia="Batang" w:hAnsi="Times New Roman" w:cs="Times New Roman"/>
                <w:color w:val="000000"/>
                <w:sz w:val="24"/>
                <w:szCs w:val="24"/>
              </w:rPr>
              <w:t>Owned/being amortized</w:t>
            </w:r>
          </w:p>
        </w:tc>
        <w:tc>
          <w:tcPr>
            <w:tcW w:w="1620" w:type="dxa"/>
            <w:vMerge w:val="restart"/>
            <w:noWrap/>
            <w:vAlign w:val="center"/>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18,572</w:t>
            </w:r>
          </w:p>
        </w:tc>
        <w:tc>
          <w:tcPr>
            <w:tcW w:w="2430" w:type="dxa"/>
            <w:noWrap/>
            <w:vAlign w:val="center"/>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16,166</w:t>
            </w:r>
          </w:p>
        </w:tc>
      </w:tr>
      <w:tr w:rsidR="00321504" w:rsidRPr="007D040E" w:rsidTr="00B66822">
        <w:trPr>
          <w:trHeight w:val="288"/>
        </w:trPr>
        <w:tc>
          <w:tcPr>
            <w:tcW w:w="3870" w:type="dxa"/>
            <w:noWrap/>
            <w:hideMark/>
          </w:tcPr>
          <w:p w:rsidR="00321504" w:rsidRPr="007D040E" w:rsidRDefault="00321504" w:rsidP="00B66822">
            <w:pPr>
              <w:spacing w:after="0" w:line="240" w:lineRule="auto"/>
              <w:contextualSpacing/>
              <w:rPr>
                <w:rFonts w:ascii="Times New Roman" w:eastAsia="Batang" w:hAnsi="Times New Roman" w:cs="Times New Roman"/>
                <w:color w:val="000000"/>
                <w:sz w:val="24"/>
                <w:szCs w:val="24"/>
              </w:rPr>
            </w:pPr>
            <w:r w:rsidRPr="007D040E">
              <w:rPr>
                <w:rFonts w:ascii="Times New Roman" w:eastAsia="Batang" w:hAnsi="Times New Roman" w:cs="Times New Roman"/>
                <w:color w:val="000000"/>
                <w:sz w:val="24"/>
                <w:szCs w:val="24"/>
              </w:rPr>
              <w:t>Rented</w:t>
            </w:r>
          </w:p>
        </w:tc>
        <w:tc>
          <w:tcPr>
            <w:tcW w:w="1620" w:type="dxa"/>
            <w:vMerge/>
            <w:noWrap/>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p>
        </w:tc>
        <w:tc>
          <w:tcPr>
            <w:tcW w:w="2430" w:type="dxa"/>
            <w:noWrap/>
            <w:vAlign w:val="center"/>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763</w:t>
            </w:r>
          </w:p>
        </w:tc>
      </w:tr>
      <w:tr w:rsidR="00321504" w:rsidRPr="007D040E" w:rsidTr="00B66822">
        <w:trPr>
          <w:trHeight w:val="288"/>
        </w:trPr>
        <w:tc>
          <w:tcPr>
            <w:tcW w:w="3870" w:type="dxa"/>
            <w:noWrap/>
            <w:hideMark/>
          </w:tcPr>
          <w:p w:rsidR="00321504" w:rsidRPr="007D040E" w:rsidRDefault="00321504" w:rsidP="00B66822">
            <w:pPr>
              <w:spacing w:after="0" w:line="240" w:lineRule="auto"/>
              <w:contextualSpacing/>
              <w:rPr>
                <w:rFonts w:ascii="Times New Roman" w:eastAsia="Batang" w:hAnsi="Times New Roman" w:cs="Times New Roman"/>
                <w:color w:val="000000"/>
                <w:sz w:val="24"/>
                <w:szCs w:val="24"/>
              </w:rPr>
            </w:pPr>
            <w:r w:rsidRPr="007D040E">
              <w:rPr>
                <w:rFonts w:ascii="Times New Roman" w:eastAsia="Batang" w:hAnsi="Times New Roman" w:cs="Times New Roman"/>
                <w:color w:val="000000"/>
                <w:sz w:val="24"/>
                <w:szCs w:val="24"/>
              </w:rPr>
              <w:t>Rent-free with consent of owner</w:t>
            </w:r>
          </w:p>
        </w:tc>
        <w:tc>
          <w:tcPr>
            <w:tcW w:w="1620" w:type="dxa"/>
            <w:vMerge/>
            <w:noWrap/>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p>
        </w:tc>
        <w:tc>
          <w:tcPr>
            <w:tcW w:w="2430" w:type="dxa"/>
            <w:noWrap/>
            <w:vAlign w:val="center"/>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1,430</w:t>
            </w:r>
          </w:p>
        </w:tc>
      </w:tr>
      <w:tr w:rsidR="00321504" w:rsidRPr="007D040E" w:rsidTr="00B66822">
        <w:trPr>
          <w:trHeight w:val="288"/>
        </w:trPr>
        <w:tc>
          <w:tcPr>
            <w:tcW w:w="3870" w:type="dxa"/>
            <w:noWrap/>
            <w:hideMark/>
          </w:tcPr>
          <w:p w:rsidR="00321504" w:rsidRPr="007D040E" w:rsidRDefault="00321504" w:rsidP="00B66822">
            <w:pPr>
              <w:spacing w:after="0" w:line="240" w:lineRule="auto"/>
              <w:contextualSpacing/>
              <w:rPr>
                <w:rFonts w:ascii="Times New Roman" w:eastAsia="Batang" w:hAnsi="Times New Roman" w:cs="Times New Roman"/>
                <w:color w:val="000000"/>
                <w:sz w:val="24"/>
                <w:szCs w:val="24"/>
              </w:rPr>
            </w:pPr>
            <w:r w:rsidRPr="007D040E">
              <w:rPr>
                <w:rFonts w:ascii="Times New Roman" w:eastAsia="Batang" w:hAnsi="Times New Roman" w:cs="Times New Roman"/>
                <w:color w:val="000000"/>
                <w:sz w:val="24"/>
                <w:szCs w:val="24"/>
              </w:rPr>
              <w:t>Rent-free without consent of owner</w:t>
            </w:r>
          </w:p>
        </w:tc>
        <w:tc>
          <w:tcPr>
            <w:tcW w:w="1620" w:type="dxa"/>
            <w:vMerge/>
            <w:noWrap/>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p>
        </w:tc>
        <w:tc>
          <w:tcPr>
            <w:tcW w:w="2430" w:type="dxa"/>
            <w:noWrap/>
            <w:vAlign w:val="center"/>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33</w:t>
            </w:r>
          </w:p>
        </w:tc>
      </w:tr>
      <w:tr w:rsidR="00321504" w:rsidRPr="007D040E" w:rsidTr="00B66822">
        <w:trPr>
          <w:trHeight w:val="288"/>
        </w:trPr>
        <w:tc>
          <w:tcPr>
            <w:tcW w:w="3870" w:type="dxa"/>
            <w:noWrap/>
            <w:hideMark/>
          </w:tcPr>
          <w:p w:rsidR="00321504" w:rsidRPr="007D040E" w:rsidRDefault="00321504" w:rsidP="00B66822">
            <w:pPr>
              <w:spacing w:after="0" w:line="240" w:lineRule="auto"/>
              <w:contextualSpacing/>
              <w:rPr>
                <w:rFonts w:ascii="Times New Roman" w:eastAsia="Batang" w:hAnsi="Times New Roman" w:cs="Times New Roman"/>
                <w:color w:val="000000"/>
                <w:sz w:val="24"/>
                <w:szCs w:val="24"/>
              </w:rPr>
            </w:pPr>
            <w:r w:rsidRPr="007D040E">
              <w:rPr>
                <w:rFonts w:ascii="Times New Roman" w:eastAsia="Batang" w:hAnsi="Times New Roman" w:cs="Times New Roman"/>
                <w:color w:val="000000"/>
                <w:sz w:val="24"/>
                <w:szCs w:val="24"/>
              </w:rPr>
              <w:t>Not applicable</w:t>
            </w:r>
          </w:p>
        </w:tc>
        <w:tc>
          <w:tcPr>
            <w:tcW w:w="1620" w:type="dxa"/>
            <w:vMerge/>
            <w:noWrap/>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p>
        </w:tc>
        <w:tc>
          <w:tcPr>
            <w:tcW w:w="2430" w:type="dxa"/>
            <w:noWrap/>
            <w:vAlign w:val="center"/>
            <w:hideMark/>
          </w:tcPr>
          <w:p w:rsidR="00321504" w:rsidRPr="007D040E" w:rsidRDefault="00321504" w:rsidP="00B66822">
            <w:pPr>
              <w:spacing w:after="0" w:line="240" w:lineRule="auto"/>
              <w:contextualSpacing/>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9</w:t>
            </w:r>
          </w:p>
        </w:tc>
      </w:tr>
      <w:tr w:rsidR="00321504" w:rsidRPr="007D040E" w:rsidTr="00B66822">
        <w:trPr>
          <w:trHeight w:val="288"/>
        </w:trPr>
        <w:tc>
          <w:tcPr>
            <w:tcW w:w="3870" w:type="dxa"/>
            <w:noWrap/>
            <w:hideMark/>
          </w:tcPr>
          <w:p w:rsidR="00321504" w:rsidRPr="007D040E" w:rsidRDefault="00321504" w:rsidP="00B66822">
            <w:pPr>
              <w:spacing w:after="0" w:line="240" w:lineRule="auto"/>
              <w:rPr>
                <w:rFonts w:ascii="Times New Roman" w:eastAsia="Batang" w:hAnsi="Times New Roman" w:cs="Times New Roman"/>
                <w:color w:val="000000"/>
                <w:sz w:val="24"/>
                <w:szCs w:val="24"/>
              </w:rPr>
            </w:pPr>
            <w:r w:rsidRPr="007D040E">
              <w:rPr>
                <w:rFonts w:ascii="Times New Roman" w:eastAsia="Batang" w:hAnsi="Times New Roman" w:cs="Times New Roman"/>
                <w:color w:val="000000"/>
                <w:sz w:val="24"/>
                <w:szCs w:val="24"/>
              </w:rPr>
              <w:t>Not Reported</w:t>
            </w:r>
          </w:p>
        </w:tc>
        <w:tc>
          <w:tcPr>
            <w:tcW w:w="1620" w:type="dxa"/>
            <w:vMerge/>
            <w:noWrap/>
            <w:hideMark/>
          </w:tcPr>
          <w:p w:rsidR="00321504" w:rsidRPr="007D040E" w:rsidRDefault="00321504" w:rsidP="00B66822">
            <w:pPr>
              <w:spacing w:after="0" w:line="240" w:lineRule="auto"/>
              <w:jc w:val="center"/>
              <w:rPr>
                <w:rFonts w:ascii="Times New Roman" w:eastAsia="Batang" w:hAnsi="Times New Roman" w:cs="Times New Roman"/>
                <w:color w:val="000000"/>
                <w:sz w:val="24"/>
                <w:szCs w:val="24"/>
              </w:rPr>
            </w:pPr>
          </w:p>
        </w:tc>
        <w:tc>
          <w:tcPr>
            <w:tcW w:w="2430" w:type="dxa"/>
            <w:noWrap/>
            <w:vAlign w:val="center"/>
            <w:hideMark/>
          </w:tcPr>
          <w:p w:rsidR="00321504" w:rsidRPr="007D040E" w:rsidRDefault="00321504" w:rsidP="00B66822">
            <w:pPr>
              <w:spacing w:after="0" w:line="240" w:lineRule="auto"/>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171</w:t>
            </w:r>
          </w:p>
        </w:tc>
      </w:tr>
    </w:tbl>
    <w:p w:rsidR="00321504" w:rsidRPr="00F51DE8" w:rsidRDefault="00321504" w:rsidP="00321504">
      <w:pPr>
        <w:ind w:left="1440"/>
        <w:jc w:val="both"/>
        <w:rPr>
          <w:rFonts w:ascii="Times New Roman" w:eastAsia="Batang" w:hAnsi="Times New Roman" w:cs="Times New Roman"/>
          <w:i/>
          <w:sz w:val="20"/>
          <w:szCs w:val="20"/>
        </w:rPr>
      </w:pPr>
      <w:r>
        <w:rPr>
          <w:rFonts w:ascii="Times New Roman" w:eastAsia="Batang" w:hAnsi="Times New Roman" w:cs="Times New Roman"/>
          <w:i/>
          <w:sz w:val="20"/>
          <w:szCs w:val="20"/>
        </w:rPr>
        <w:t xml:space="preserve">     </w:t>
      </w:r>
      <w:r w:rsidRPr="00F51DE8">
        <w:rPr>
          <w:rFonts w:ascii="Times New Roman" w:eastAsia="Batang" w:hAnsi="Times New Roman" w:cs="Times New Roman"/>
          <w:i/>
          <w:sz w:val="20"/>
          <w:szCs w:val="20"/>
        </w:rPr>
        <w:t>Source: NSO</w:t>
      </w:r>
    </w:p>
    <w:p w:rsidR="00321504" w:rsidRPr="001646C6" w:rsidRDefault="00321504" w:rsidP="00321504">
      <w:pPr>
        <w:spacing w:line="360" w:lineRule="auto"/>
        <w:ind w:left="720" w:firstLine="720"/>
        <w:jc w:val="both"/>
        <w:rPr>
          <w:rFonts w:ascii="Times New Roman" w:eastAsia="Batang" w:hAnsi="Times New Roman" w:cs="Times New Roman"/>
          <w:i/>
          <w:color w:val="000000" w:themeColor="text1"/>
          <w:sz w:val="24"/>
          <w:szCs w:val="24"/>
        </w:rPr>
      </w:pPr>
      <w:r w:rsidRPr="001646C6">
        <w:rPr>
          <w:rFonts w:ascii="Times New Roman" w:eastAsia="Batang" w:hAnsi="Times New Roman" w:cs="Times New Roman"/>
          <w:b/>
          <w:i/>
          <w:color w:val="000000" w:themeColor="text1"/>
          <w:sz w:val="24"/>
          <w:szCs w:val="24"/>
        </w:rPr>
        <w:t>Occupied Housing Units of Households by Type of Building</w:t>
      </w:r>
    </w:p>
    <w:p w:rsidR="00321504" w:rsidRPr="00D356BF" w:rsidRDefault="00321504" w:rsidP="00321504">
      <w:pPr>
        <w:spacing w:line="360" w:lineRule="auto"/>
        <w:ind w:left="1440"/>
        <w:jc w:val="both"/>
        <w:rPr>
          <w:rFonts w:ascii="Times New Roman" w:eastAsia="Batang" w:hAnsi="Times New Roman" w:cs="Times New Roman"/>
          <w:color w:val="000000" w:themeColor="text1"/>
          <w:sz w:val="24"/>
          <w:szCs w:val="24"/>
        </w:rPr>
      </w:pPr>
      <w:r w:rsidRPr="00D356BF">
        <w:rPr>
          <w:rFonts w:ascii="Times New Roman" w:eastAsia="Batang" w:hAnsi="Times New Roman" w:cs="Times New Roman"/>
          <w:color w:val="000000" w:themeColor="text1"/>
          <w:sz w:val="24"/>
          <w:szCs w:val="24"/>
        </w:rPr>
        <w:t xml:space="preserve">The 2010 housing census indicate a total of </w:t>
      </w:r>
      <w:r>
        <w:rPr>
          <w:rFonts w:ascii="Times New Roman" w:eastAsia="Batang" w:hAnsi="Times New Roman" w:cs="Times New Roman"/>
          <w:color w:val="000000" w:themeColor="text1"/>
          <w:sz w:val="24"/>
          <w:szCs w:val="24"/>
        </w:rPr>
        <w:t>16,307</w:t>
      </w:r>
      <w:r w:rsidRPr="00D356BF">
        <w:rPr>
          <w:rFonts w:ascii="Times New Roman" w:eastAsia="Batang" w:hAnsi="Times New Roman" w:cs="Times New Roman"/>
          <w:color w:val="000000" w:themeColor="text1"/>
          <w:sz w:val="24"/>
          <w:szCs w:val="24"/>
        </w:rPr>
        <w:t xml:space="preserve"> total occupied housing units in </w:t>
      </w:r>
      <w:r>
        <w:rPr>
          <w:rFonts w:ascii="Times New Roman" w:eastAsia="Batang" w:hAnsi="Times New Roman" w:cs="Times New Roman"/>
          <w:color w:val="000000" w:themeColor="text1"/>
          <w:sz w:val="24"/>
          <w:szCs w:val="24"/>
        </w:rPr>
        <w:t>16,644</w:t>
      </w:r>
      <w:r w:rsidRPr="00D356BF">
        <w:rPr>
          <w:rFonts w:ascii="Times New Roman" w:eastAsia="Batang" w:hAnsi="Times New Roman" w:cs="Times New Roman"/>
          <w:color w:val="000000" w:themeColor="text1"/>
          <w:sz w:val="24"/>
          <w:szCs w:val="24"/>
        </w:rPr>
        <w:t xml:space="preserve"> households, this indicates a housing backlog of </w:t>
      </w:r>
      <w:r>
        <w:rPr>
          <w:rFonts w:ascii="Times New Roman" w:eastAsia="Batang" w:hAnsi="Times New Roman" w:cs="Times New Roman"/>
          <w:color w:val="000000" w:themeColor="text1"/>
          <w:sz w:val="24"/>
          <w:szCs w:val="24"/>
        </w:rPr>
        <w:t>337</w:t>
      </w:r>
      <w:r w:rsidRPr="00D356BF">
        <w:rPr>
          <w:rFonts w:ascii="Times New Roman" w:eastAsia="Batang" w:hAnsi="Times New Roman" w:cs="Times New Roman"/>
          <w:color w:val="000000" w:themeColor="text1"/>
          <w:sz w:val="24"/>
          <w:szCs w:val="24"/>
        </w:rPr>
        <w:t xml:space="preserve"> housing units in </w:t>
      </w:r>
      <w:proofErr w:type="spellStart"/>
      <w:r w:rsidRPr="00D356BF">
        <w:rPr>
          <w:rFonts w:ascii="Times New Roman" w:eastAsia="Batang" w:hAnsi="Times New Roman" w:cs="Times New Roman"/>
          <w:color w:val="000000" w:themeColor="text1"/>
          <w:sz w:val="24"/>
          <w:szCs w:val="24"/>
        </w:rPr>
        <w:t>censal</w:t>
      </w:r>
      <w:proofErr w:type="spellEnd"/>
      <w:r w:rsidRPr="00D356BF">
        <w:rPr>
          <w:rFonts w:ascii="Times New Roman" w:eastAsia="Batang" w:hAnsi="Times New Roman" w:cs="Times New Roman"/>
          <w:color w:val="000000" w:themeColor="text1"/>
          <w:sz w:val="24"/>
          <w:szCs w:val="24"/>
        </w:rPr>
        <w:t xml:space="preserve"> year 2010 due to doubled-up households.  </w:t>
      </w:r>
    </w:p>
    <w:p w:rsidR="00321504" w:rsidRPr="001646C6" w:rsidRDefault="00321504" w:rsidP="00321504">
      <w:pPr>
        <w:spacing w:after="0" w:line="240" w:lineRule="auto"/>
        <w:ind w:left="720" w:firstLine="720"/>
        <w:contextualSpacing/>
        <w:rPr>
          <w:rFonts w:ascii="Times New Roman" w:eastAsia="Batang" w:hAnsi="Times New Roman" w:cs="Times New Roman"/>
          <w:b/>
          <w:i/>
          <w:color w:val="000000" w:themeColor="text1"/>
          <w:sz w:val="24"/>
          <w:szCs w:val="24"/>
        </w:rPr>
      </w:pPr>
      <w:r w:rsidRPr="001646C6">
        <w:rPr>
          <w:rFonts w:ascii="Times New Roman" w:eastAsia="Batang" w:hAnsi="Times New Roman" w:cs="Times New Roman"/>
          <w:b/>
          <w:i/>
          <w:color w:val="000000" w:themeColor="text1"/>
          <w:sz w:val="24"/>
          <w:szCs w:val="24"/>
        </w:rPr>
        <w:t xml:space="preserve">Inventory of Potential Lands </w:t>
      </w:r>
      <w:r>
        <w:rPr>
          <w:rFonts w:ascii="Times New Roman" w:eastAsia="Batang" w:hAnsi="Times New Roman" w:cs="Times New Roman"/>
          <w:b/>
          <w:i/>
          <w:color w:val="000000" w:themeColor="text1"/>
          <w:sz w:val="24"/>
          <w:szCs w:val="24"/>
        </w:rPr>
        <w:t>f</w:t>
      </w:r>
      <w:r w:rsidRPr="001646C6">
        <w:rPr>
          <w:rFonts w:ascii="Times New Roman" w:eastAsia="Batang" w:hAnsi="Times New Roman" w:cs="Times New Roman"/>
          <w:b/>
          <w:i/>
          <w:color w:val="000000" w:themeColor="text1"/>
          <w:sz w:val="24"/>
          <w:szCs w:val="24"/>
        </w:rPr>
        <w:t>or Housing</w:t>
      </w:r>
    </w:p>
    <w:p w:rsidR="00321504" w:rsidRPr="000953D9" w:rsidRDefault="00321504" w:rsidP="00321504">
      <w:pPr>
        <w:spacing w:before="240" w:line="360" w:lineRule="auto"/>
        <w:ind w:left="1440"/>
        <w:jc w:val="both"/>
        <w:rPr>
          <w:rFonts w:ascii="Times New Roman" w:eastAsia="Batang" w:hAnsi="Times New Roman" w:cs="Times New Roman"/>
          <w:color w:val="000000" w:themeColor="text1"/>
          <w:sz w:val="24"/>
          <w:szCs w:val="24"/>
        </w:rPr>
      </w:pPr>
      <w:r w:rsidRPr="001646C6">
        <w:rPr>
          <w:rFonts w:ascii="Times New Roman" w:eastAsia="Batang" w:hAnsi="Times New Roman" w:cs="Times New Roman"/>
          <w:color w:val="000000" w:themeColor="text1"/>
          <w:sz w:val="24"/>
          <w:szCs w:val="24"/>
        </w:rPr>
        <w:t xml:space="preserve">The National Housing Authority, with respect to lands belonging to the National Government, and the local government units with respect to other lands within their respective localities, shall coordinate with each other to formulate and make </w:t>
      </w:r>
      <w:r w:rsidRPr="001646C6">
        <w:rPr>
          <w:rFonts w:ascii="Times New Roman" w:eastAsia="Batang" w:hAnsi="Times New Roman" w:cs="Times New Roman"/>
          <w:color w:val="000000" w:themeColor="text1"/>
          <w:sz w:val="24"/>
          <w:szCs w:val="24"/>
        </w:rPr>
        <w:lastRenderedPageBreak/>
        <w:t>available various alternative schemes for the disposition of lands to the beneficiaries of the program.  These schemes shall not be limited to those involving transfer of ownership in fee simple but shall include lease, with option to purchase, usufruct or such other variations as the local government units or the National Housing Authority may deem most expedient in carrying out the purposes under RA 7279 Section 12 (UDHA) consistent with the provision, a scheme for public rental housing may be adopted.</w:t>
      </w:r>
    </w:p>
    <w:p w:rsidR="00321504" w:rsidRPr="000953D9"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t xml:space="preserve">The table below show that there are potential sites of resettlement in the Municipality </w:t>
      </w:r>
      <w:proofErr w:type="gramStart"/>
      <w:r w:rsidRPr="000953D9">
        <w:rPr>
          <w:rFonts w:ascii="Times New Roman" w:eastAsia="Batang" w:hAnsi="Times New Roman" w:cs="Times New Roman"/>
          <w:color w:val="000000" w:themeColor="text1"/>
          <w:sz w:val="24"/>
          <w:szCs w:val="24"/>
        </w:rPr>
        <w:t xml:space="preserve">of  </w:t>
      </w:r>
      <w:proofErr w:type="spellStart"/>
      <w:r w:rsidRPr="000953D9">
        <w:rPr>
          <w:rFonts w:ascii="Times New Roman" w:eastAsia="Batang" w:hAnsi="Times New Roman" w:cs="Times New Roman"/>
          <w:color w:val="000000" w:themeColor="text1"/>
          <w:sz w:val="24"/>
          <w:szCs w:val="24"/>
        </w:rPr>
        <w:t>Mangaldan</w:t>
      </w:r>
      <w:proofErr w:type="spellEnd"/>
      <w:proofErr w:type="gramEnd"/>
      <w:r w:rsidRPr="000953D9">
        <w:rPr>
          <w:rFonts w:ascii="Times New Roman" w:eastAsia="Batang" w:hAnsi="Times New Roman" w:cs="Times New Roman"/>
          <w:color w:val="000000" w:themeColor="text1"/>
          <w:sz w:val="24"/>
          <w:szCs w:val="24"/>
        </w:rPr>
        <w:t xml:space="preserve"> with a total land area of 5.2 hectares, however, this is being owned by private individuals, m</w:t>
      </w:r>
      <w:bookmarkStart w:id="0" w:name="_GoBack"/>
      <w:bookmarkEnd w:id="0"/>
      <w:r w:rsidRPr="000953D9">
        <w:rPr>
          <w:rFonts w:ascii="Times New Roman" w:eastAsia="Batang" w:hAnsi="Times New Roman" w:cs="Times New Roman"/>
          <w:color w:val="000000" w:themeColor="text1"/>
          <w:sz w:val="24"/>
          <w:szCs w:val="24"/>
        </w:rPr>
        <w:t>ajority of these areas are within Non-Strategic Agricultural Zone.</w:t>
      </w:r>
    </w:p>
    <w:p w:rsidR="00321504" w:rsidRPr="008E00C2" w:rsidRDefault="00321504" w:rsidP="00321504">
      <w:pPr>
        <w:spacing w:after="0" w:line="276" w:lineRule="auto"/>
        <w:ind w:left="720"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48</w:t>
      </w:r>
      <w:r w:rsidRPr="008E00C2">
        <w:rPr>
          <w:rFonts w:ascii="Times New Roman" w:eastAsia="Batang" w:hAnsi="Times New Roman" w:cs="Times New Roman"/>
          <w:b/>
          <w:color w:val="000000" w:themeColor="text1"/>
          <w:sz w:val="24"/>
          <w:szCs w:val="24"/>
        </w:rPr>
        <w:t xml:space="preserve">: </w:t>
      </w:r>
      <w:r>
        <w:rPr>
          <w:rFonts w:ascii="Times New Roman" w:eastAsia="Batang" w:hAnsi="Times New Roman" w:cs="Times New Roman"/>
          <w:b/>
          <w:color w:val="000000" w:themeColor="text1"/>
          <w:sz w:val="24"/>
          <w:szCs w:val="24"/>
        </w:rPr>
        <w:t xml:space="preserve">Potential </w:t>
      </w:r>
      <w:r w:rsidRPr="008E00C2">
        <w:rPr>
          <w:rFonts w:ascii="Times New Roman" w:eastAsia="Batang" w:hAnsi="Times New Roman" w:cs="Times New Roman"/>
          <w:b/>
          <w:color w:val="000000" w:themeColor="text1"/>
          <w:sz w:val="24"/>
          <w:szCs w:val="24"/>
        </w:rPr>
        <w:t>Land Inventory</w:t>
      </w:r>
    </w:p>
    <w:tbl>
      <w:tblPr>
        <w:tblStyle w:val="TableGrid2"/>
        <w:tblW w:w="7493" w:type="dxa"/>
        <w:tblInd w:w="1874" w:type="dxa"/>
        <w:tblLook w:val="04A0" w:firstRow="1" w:lastRow="0" w:firstColumn="1" w:lastColumn="0" w:noHBand="0" w:noVBand="1"/>
      </w:tblPr>
      <w:tblGrid>
        <w:gridCol w:w="2003"/>
        <w:gridCol w:w="1620"/>
        <w:gridCol w:w="1710"/>
        <w:gridCol w:w="2160"/>
      </w:tblGrid>
      <w:tr w:rsidR="00321504" w:rsidRPr="008E00C2" w:rsidTr="00B66822">
        <w:tc>
          <w:tcPr>
            <w:tcW w:w="2003" w:type="dxa"/>
          </w:tcPr>
          <w:p w:rsidR="00321504" w:rsidRPr="008E00C2" w:rsidRDefault="00321504" w:rsidP="00B66822">
            <w:pPr>
              <w:spacing w:after="0" w:line="240" w:lineRule="auto"/>
              <w:jc w:val="center"/>
              <w:rPr>
                <w:rFonts w:ascii="Times New Roman" w:eastAsia="Batang" w:hAnsi="Times New Roman" w:cs="Times New Roman"/>
                <w:b/>
                <w:color w:val="000000" w:themeColor="text1"/>
                <w:sz w:val="24"/>
                <w:szCs w:val="24"/>
              </w:rPr>
            </w:pPr>
            <w:r w:rsidRPr="008E00C2">
              <w:rPr>
                <w:rFonts w:ascii="Times New Roman" w:eastAsia="Batang" w:hAnsi="Times New Roman" w:cs="Times New Roman"/>
                <w:b/>
                <w:color w:val="000000" w:themeColor="text1"/>
                <w:sz w:val="24"/>
                <w:szCs w:val="24"/>
              </w:rPr>
              <w:t>Owner</w:t>
            </w:r>
          </w:p>
        </w:tc>
        <w:tc>
          <w:tcPr>
            <w:tcW w:w="1620" w:type="dxa"/>
          </w:tcPr>
          <w:p w:rsidR="00321504" w:rsidRPr="008E00C2" w:rsidRDefault="00321504" w:rsidP="00B66822">
            <w:pPr>
              <w:spacing w:after="0" w:line="240" w:lineRule="auto"/>
              <w:jc w:val="center"/>
              <w:rPr>
                <w:rFonts w:ascii="Times New Roman" w:eastAsia="Batang" w:hAnsi="Times New Roman" w:cs="Times New Roman"/>
                <w:b/>
                <w:color w:val="000000" w:themeColor="text1"/>
                <w:sz w:val="24"/>
                <w:szCs w:val="24"/>
              </w:rPr>
            </w:pPr>
            <w:r w:rsidRPr="008E00C2">
              <w:rPr>
                <w:rFonts w:ascii="Times New Roman" w:eastAsia="Batang" w:hAnsi="Times New Roman" w:cs="Times New Roman"/>
                <w:b/>
                <w:color w:val="000000" w:themeColor="text1"/>
                <w:sz w:val="24"/>
                <w:szCs w:val="24"/>
              </w:rPr>
              <w:t>Area (has.)</w:t>
            </w:r>
          </w:p>
        </w:tc>
        <w:tc>
          <w:tcPr>
            <w:tcW w:w="1710" w:type="dxa"/>
          </w:tcPr>
          <w:p w:rsidR="00321504" w:rsidRPr="008E00C2" w:rsidRDefault="00321504" w:rsidP="00B66822">
            <w:pPr>
              <w:spacing w:after="0" w:line="240" w:lineRule="auto"/>
              <w:jc w:val="center"/>
              <w:rPr>
                <w:rFonts w:ascii="Times New Roman" w:eastAsia="Batang" w:hAnsi="Times New Roman" w:cs="Times New Roman"/>
                <w:b/>
                <w:color w:val="000000" w:themeColor="text1"/>
                <w:sz w:val="24"/>
                <w:szCs w:val="24"/>
              </w:rPr>
            </w:pPr>
            <w:r w:rsidRPr="008E00C2">
              <w:rPr>
                <w:rFonts w:ascii="Times New Roman" w:eastAsia="Batang" w:hAnsi="Times New Roman" w:cs="Times New Roman"/>
                <w:b/>
                <w:color w:val="000000" w:themeColor="text1"/>
                <w:sz w:val="24"/>
                <w:szCs w:val="24"/>
              </w:rPr>
              <w:t>Location</w:t>
            </w:r>
          </w:p>
        </w:tc>
        <w:tc>
          <w:tcPr>
            <w:tcW w:w="2160" w:type="dxa"/>
          </w:tcPr>
          <w:p w:rsidR="00321504" w:rsidRPr="008E00C2" w:rsidRDefault="00321504" w:rsidP="00B66822">
            <w:pPr>
              <w:spacing w:after="0" w:line="240" w:lineRule="auto"/>
              <w:jc w:val="center"/>
              <w:rPr>
                <w:rFonts w:ascii="Times New Roman" w:eastAsia="Batang" w:hAnsi="Times New Roman" w:cs="Times New Roman"/>
                <w:b/>
                <w:color w:val="000000" w:themeColor="text1"/>
                <w:sz w:val="24"/>
                <w:szCs w:val="24"/>
              </w:rPr>
            </w:pPr>
            <w:r w:rsidRPr="008E00C2">
              <w:rPr>
                <w:rFonts w:ascii="Times New Roman" w:eastAsia="Batang" w:hAnsi="Times New Roman" w:cs="Times New Roman"/>
                <w:b/>
                <w:color w:val="000000" w:themeColor="text1"/>
                <w:sz w:val="24"/>
                <w:szCs w:val="24"/>
              </w:rPr>
              <w:t>Status</w:t>
            </w:r>
          </w:p>
        </w:tc>
      </w:tr>
      <w:tr w:rsidR="00321504" w:rsidRPr="008E00C2" w:rsidTr="00B66822">
        <w:trPr>
          <w:trHeight w:val="288"/>
        </w:trPr>
        <w:tc>
          <w:tcPr>
            <w:tcW w:w="2003" w:type="dxa"/>
          </w:tcPr>
          <w:p w:rsidR="00321504" w:rsidRPr="008E00C2" w:rsidRDefault="00321504" w:rsidP="00321504">
            <w:pPr>
              <w:pStyle w:val="ListParagraph"/>
              <w:numPr>
                <w:ilvl w:val="0"/>
                <w:numId w:val="43"/>
              </w:numPr>
              <w:spacing w:after="0" w:line="240" w:lineRule="auto"/>
              <w:ind w:left="286"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Private</w:t>
            </w:r>
          </w:p>
        </w:tc>
        <w:tc>
          <w:tcPr>
            <w:tcW w:w="162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c>
          <w:tcPr>
            <w:tcW w:w="171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Buenlag</w:t>
            </w:r>
            <w:proofErr w:type="spellEnd"/>
          </w:p>
        </w:tc>
        <w:tc>
          <w:tcPr>
            <w:tcW w:w="216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Agricultural</w:t>
            </w:r>
          </w:p>
        </w:tc>
      </w:tr>
      <w:tr w:rsidR="00321504" w:rsidRPr="008E00C2" w:rsidTr="00B66822">
        <w:trPr>
          <w:trHeight w:val="288"/>
        </w:trPr>
        <w:tc>
          <w:tcPr>
            <w:tcW w:w="2003" w:type="dxa"/>
          </w:tcPr>
          <w:p w:rsidR="00321504" w:rsidRPr="008E00C2" w:rsidRDefault="00321504" w:rsidP="00321504">
            <w:pPr>
              <w:pStyle w:val="ListParagraph"/>
              <w:numPr>
                <w:ilvl w:val="0"/>
                <w:numId w:val="43"/>
              </w:numPr>
              <w:spacing w:after="0" w:line="240" w:lineRule="auto"/>
              <w:ind w:left="286"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Private</w:t>
            </w:r>
          </w:p>
        </w:tc>
        <w:tc>
          <w:tcPr>
            <w:tcW w:w="162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c>
          <w:tcPr>
            <w:tcW w:w="171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Bari</w:t>
            </w:r>
          </w:p>
        </w:tc>
        <w:tc>
          <w:tcPr>
            <w:tcW w:w="216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Agricultural</w:t>
            </w:r>
          </w:p>
        </w:tc>
      </w:tr>
      <w:tr w:rsidR="00321504" w:rsidRPr="008E00C2" w:rsidTr="00B66822">
        <w:trPr>
          <w:trHeight w:val="288"/>
        </w:trPr>
        <w:tc>
          <w:tcPr>
            <w:tcW w:w="2003" w:type="dxa"/>
          </w:tcPr>
          <w:p w:rsidR="00321504" w:rsidRPr="008E00C2" w:rsidRDefault="00321504" w:rsidP="00321504">
            <w:pPr>
              <w:pStyle w:val="ListParagraph"/>
              <w:numPr>
                <w:ilvl w:val="0"/>
                <w:numId w:val="43"/>
              </w:numPr>
              <w:spacing w:after="0" w:line="240" w:lineRule="auto"/>
              <w:ind w:left="286"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Private</w:t>
            </w:r>
          </w:p>
        </w:tc>
        <w:tc>
          <w:tcPr>
            <w:tcW w:w="162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w:t>
            </w:r>
          </w:p>
        </w:tc>
        <w:tc>
          <w:tcPr>
            <w:tcW w:w="171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Tebag</w:t>
            </w:r>
            <w:proofErr w:type="spellEnd"/>
          </w:p>
        </w:tc>
        <w:tc>
          <w:tcPr>
            <w:tcW w:w="216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Farm Resort</w:t>
            </w:r>
          </w:p>
        </w:tc>
      </w:tr>
      <w:tr w:rsidR="00321504" w:rsidRPr="008E00C2" w:rsidTr="00B66822">
        <w:trPr>
          <w:trHeight w:val="288"/>
        </w:trPr>
        <w:tc>
          <w:tcPr>
            <w:tcW w:w="2003" w:type="dxa"/>
          </w:tcPr>
          <w:p w:rsidR="00321504" w:rsidRPr="008E00C2" w:rsidRDefault="00321504" w:rsidP="00321504">
            <w:pPr>
              <w:pStyle w:val="ListParagraph"/>
              <w:numPr>
                <w:ilvl w:val="0"/>
                <w:numId w:val="43"/>
              </w:numPr>
              <w:spacing w:after="0" w:line="240" w:lineRule="auto"/>
              <w:ind w:left="286" w:hanging="27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Private</w:t>
            </w:r>
          </w:p>
        </w:tc>
        <w:tc>
          <w:tcPr>
            <w:tcW w:w="162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w:t>
            </w:r>
          </w:p>
        </w:tc>
        <w:tc>
          <w:tcPr>
            <w:tcW w:w="171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Amansabina</w:t>
            </w:r>
            <w:proofErr w:type="spellEnd"/>
          </w:p>
        </w:tc>
        <w:tc>
          <w:tcPr>
            <w:tcW w:w="216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Agricultural</w:t>
            </w:r>
          </w:p>
        </w:tc>
      </w:tr>
      <w:tr w:rsidR="00321504" w:rsidRPr="008E00C2" w:rsidTr="00B66822">
        <w:trPr>
          <w:trHeight w:val="288"/>
        </w:trPr>
        <w:tc>
          <w:tcPr>
            <w:tcW w:w="2003" w:type="dxa"/>
          </w:tcPr>
          <w:p w:rsidR="00321504" w:rsidRPr="008E00C2" w:rsidRDefault="00321504" w:rsidP="00B66822">
            <w:pPr>
              <w:spacing w:after="0" w:line="240" w:lineRule="auto"/>
              <w:jc w:val="center"/>
              <w:rPr>
                <w:rFonts w:ascii="Times New Roman" w:eastAsia="Batang" w:hAnsi="Times New Roman" w:cs="Times New Roman"/>
                <w:b/>
                <w:color w:val="000000" w:themeColor="text1"/>
                <w:sz w:val="24"/>
                <w:szCs w:val="24"/>
              </w:rPr>
            </w:pPr>
            <w:r w:rsidRPr="008E00C2">
              <w:rPr>
                <w:rFonts w:ascii="Times New Roman" w:eastAsia="Batang" w:hAnsi="Times New Roman" w:cs="Times New Roman"/>
                <w:b/>
                <w:color w:val="000000" w:themeColor="text1"/>
                <w:sz w:val="24"/>
                <w:szCs w:val="24"/>
              </w:rPr>
              <w:t>Total</w:t>
            </w:r>
          </w:p>
        </w:tc>
        <w:tc>
          <w:tcPr>
            <w:tcW w:w="1620" w:type="dxa"/>
          </w:tcPr>
          <w:p w:rsidR="00321504" w:rsidRPr="008E00C2" w:rsidRDefault="00321504" w:rsidP="00B66822">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5.2</w:t>
            </w:r>
          </w:p>
        </w:tc>
        <w:tc>
          <w:tcPr>
            <w:tcW w:w="171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p>
        </w:tc>
        <w:tc>
          <w:tcPr>
            <w:tcW w:w="2160" w:type="dxa"/>
          </w:tcPr>
          <w:p w:rsidR="00321504" w:rsidRPr="008E00C2" w:rsidRDefault="00321504" w:rsidP="00B66822">
            <w:pPr>
              <w:spacing w:after="0" w:line="240" w:lineRule="auto"/>
              <w:jc w:val="center"/>
              <w:rPr>
                <w:rFonts w:ascii="Times New Roman" w:eastAsia="Batang" w:hAnsi="Times New Roman" w:cs="Times New Roman"/>
                <w:color w:val="000000" w:themeColor="text1"/>
                <w:sz w:val="24"/>
                <w:szCs w:val="24"/>
              </w:rPr>
            </w:pPr>
          </w:p>
        </w:tc>
      </w:tr>
    </w:tbl>
    <w:p w:rsidR="00321504" w:rsidRPr="008E00C2" w:rsidRDefault="00321504" w:rsidP="00321504">
      <w:pPr>
        <w:spacing w:after="0" w:line="276" w:lineRule="auto"/>
        <w:ind w:left="1440" w:firstLine="720"/>
        <w:rPr>
          <w:rFonts w:ascii="Times New Roman" w:eastAsia="Batang" w:hAnsi="Times New Roman" w:cs="Times New Roman"/>
          <w:i/>
          <w:color w:val="000000"/>
          <w:sz w:val="20"/>
          <w:szCs w:val="20"/>
        </w:rPr>
      </w:pPr>
      <w:r w:rsidRPr="008E00C2">
        <w:rPr>
          <w:rFonts w:ascii="Times New Roman" w:eastAsia="Batang" w:hAnsi="Times New Roman" w:cs="Times New Roman"/>
          <w:i/>
          <w:color w:val="000000"/>
          <w:sz w:val="20"/>
          <w:szCs w:val="20"/>
        </w:rPr>
        <w:t>Source: Local Shelter Plan, 2013-2021</w:t>
      </w:r>
    </w:p>
    <w:p w:rsidR="00321504" w:rsidRPr="007D040E" w:rsidRDefault="00321504" w:rsidP="00321504">
      <w:pPr>
        <w:spacing w:after="0" w:line="276" w:lineRule="auto"/>
        <w:ind w:left="720"/>
        <w:contextualSpacing/>
        <w:rPr>
          <w:rFonts w:ascii="Times New Roman" w:eastAsiaTheme="minorEastAsia" w:hAnsi="Times New Roman" w:cs="Times New Roman"/>
          <w:color w:val="000000"/>
          <w:sz w:val="24"/>
          <w:szCs w:val="24"/>
        </w:rPr>
      </w:pPr>
    </w:p>
    <w:p w:rsidR="00321504" w:rsidRPr="008E00C2" w:rsidRDefault="00321504" w:rsidP="00321504">
      <w:pPr>
        <w:jc w:val="both"/>
        <w:rPr>
          <w:rFonts w:ascii="Times New Roman" w:eastAsia="Batang" w:hAnsi="Times New Roman" w:cs="Times New Roman"/>
          <w:b/>
          <w:i/>
          <w:color w:val="000000" w:themeColor="text1"/>
          <w:sz w:val="24"/>
          <w:szCs w:val="24"/>
        </w:rPr>
      </w:pPr>
      <w:r w:rsidRPr="007D040E">
        <w:rPr>
          <w:rFonts w:ascii="Times New Roman" w:eastAsia="Batang" w:hAnsi="Times New Roman" w:cs="Times New Roman"/>
          <w:sz w:val="24"/>
          <w:szCs w:val="24"/>
        </w:rPr>
        <w:t xml:space="preserve"> </w:t>
      </w:r>
      <w:r>
        <w:rPr>
          <w:rFonts w:ascii="Times New Roman" w:eastAsia="Batang" w:hAnsi="Times New Roman" w:cs="Times New Roman"/>
          <w:sz w:val="24"/>
          <w:szCs w:val="24"/>
        </w:rPr>
        <w:tab/>
      </w:r>
      <w:r>
        <w:rPr>
          <w:rFonts w:ascii="Times New Roman" w:eastAsia="Batang" w:hAnsi="Times New Roman" w:cs="Times New Roman"/>
          <w:sz w:val="24"/>
          <w:szCs w:val="24"/>
        </w:rPr>
        <w:tab/>
      </w:r>
      <w:r w:rsidRPr="008E00C2">
        <w:rPr>
          <w:rFonts w:ascii="Times New Roman" w:eastAsia="Batang" w:hAnsi="Times New Roman" w:cs="Times New Roman"/>
          <w:b/>
          <w:i/>
          <w:color w:val="000000" w:themeColor="text1"/>
          <w:sz w:val="24"/>
          <w:szCs w:val="24"/>
        </w:rPr>
        <w:t>Current and projected Needs</w:t>
      </w:r>
    </w:p>
    <w:p w:rsidR="00321504" w:rsidRPr="00C570D4" w:rsidRDefault="00321504" w:rsidP="00321504">
      <w:pPr>
        <w:spacing w:line="360" w:lineRule="auto"/>
        <w:ind w:left="1440"/>
        <w:jc w:val="both"/>
        <w:rPr>
          <w:rFonts w:ascii="Times New Roman" w:eastAsia="Batang" w:hAnsi="Times New Roman" w:cs="Times New Roman"/>
          <w:sz w:val="24"/>
          <w:szCs w:val="24"/>
        </w:rPr>
      </w:pPr>
      <w:r w:rsidRPr="000953D9">
        <w:rPr>
          <w:rFonts w:ascii="Times New Roman" w:eastAsia="Batang" w:hAnsi="Times New Roman" w:cs="Times New Roman"/>
          <w:sz w:val="24"/>
          <w:szCs w:val="24"/>
        </w:rPr>
        <w:t xml:space="preserve">The present housing need or the backlog is computed to be 3,208 units. There is no data on homeless households or homeless individuals in </w:t>
      </w:r>
      <w:proofErr w:type="spellStart"/>
      <w:r w:rsidRPr="000953D9">
        <w:rPr>
          <w:rFonts w:ascii="Times New Roman" w:eastAsia="Batang" w:hAnsi="Times New Roman" w:cs="Times New Roman"/>
          <w:sz w:val="24"/>
          <w:szCs w:val="24"/>
        </w:rPr>
        <w:t>Mangaldan</w:t>
      </w:r>
      <w:proofErr w:type="spellEnd"/>
      <w:r w:rsidRPr="000953D9">
        <w:rPr>
          <w:rFonts w:ascii="Times New Roman" w:eastAsia="Batang" w:hAnsi="Times New Roman" w:cs="Times New Roman"/>
          <w:sz w:val="24"/>
          <w:szCs w:val="24"/>
        </w:rPr>
        <w:t xml:space="preserve">. However, there are families occupying the PNR property in Barangays </w:t>
      </w:r>
      <w:proofErr w:type="spellStart"/>
      <w:r w:rsidRPr="000953D9">
        <w:rPr>
          <w:rFonts w:ascii="Times New Roman" w:eastAsia="Batang" w:hAnsi="Times New Roman" w:cs="Times New Roman"/>
          <w:sz w:val="24"/>
          <w:szCs w:val="24"/>
        </w:rPr>
        <w:t>Maasin</w:t>
      </w:r>
      <w:proofErr w:type="spellEnd"/>
      <w:r w:rsidRPr="000953D9">
        <w:rPr>
          <w:rFonts w:ascii="Times New Roman" w:eastAsia="Batang" w:hAnsi="Times New Roman" w:cs="Times New Roman"/>
          <w:sz w:val="24"/>
          <w:szCs w:val="24"/>
        </w:rPr>
        <w:t xml:space="preserve">, </w:t>
      </w:r>
      <w:proofErr w:type="spellStart"/>
      <w:r w:rsidRPr="000953D9">
        <w:rPr>
          <w:rFonts w:ascii="Times New Roman" w:eastAsia="Batang" w:hAnsi="Times New Roman" w:cs="Times New Roman"/>
          <w:sz w:val="24"/>
          <w:szCs w:val="24"/>
        </w:rPr>
        <w:t>Salay</w:t>
      </w:r>
      <w:proofErr w:type="spellEnd"/>
      <w:r w:rsidRPr="000953D9">
        <w:rPr>
          <w:rFonts w:ascii="Times New Roman" w:eastAsia="Batang" w:hAnsi="Times New Roman" w:cs="Times New Roman"/>
          <w:sz w:val="24"/>
          <w:szCs w:val="24"/>
        </w:rPr>
        <w:t xml:space="preserve">, </w:t>
      </w:r>
      <w:proofErr w:type="spellStart"/>
      <w:r w:rsidRPr="000953D9">
        <w:rPr>
          <w:rFonts w:ascii="Times New Roman" w:eastAsia="Batang" w:hAnsi="Times New Roman" w:cs="Times New Roman"/>
          <w:sz w:val="24"/>
          <w:szCs w:val="24"/>
        </w:rPr>
        <w:t>Salaan</w:t>
      </w:r>
      <w:proofErr w:type="spellEnd"/>
      <w:r w:rsidRPr="000953D9">
        <w:rPr>
          <w:rFonts w:ascii="Times New Roman" w:eastAsia="Batang" w:hAnsi="Times New Roman" w:cs="Times New Roman"/>
          <w:sz w:val="24"/>
          <w:szCs w:val="24"/>
        </w:rPr>
        <w:t xml:space="preserve">, </w:t>
      </w:r>
      <w:proofErr w:type="gramStart"/>
      <w:r w:rsidRPr="000953D9">
        <w:rPr>
          <w:rFonts w:ascii="Times New Roman" w:eastAsia="Batang" w:hAnsi="Times New Roman" w:cs="Times New Roman"/>
          <w:sz w:val="24"/>
          <w:szCs w:val="24"/>
        </w:rPr>
        <w:t>Pogo</w:t>
      </w:r>
      <w:proofErr w:type="gramEnd"/>
      <w:r w:rsidRPr="000953D9">
        <w:rPr>
          <w:rFonts w:ascii="Times New Roman" w:eastAsia="Batang" w:hAnsi="Times New Roman" w:cs="Times New Roman"/>
          <w:sz w:val="24"/>
          <w:szCs w:val="24"/>
        </w:rPr>
        <w:t xml:space="preserve"> &amp; </w:t>
      </w:r>
      <w:proofErr w:type="spellStart"/>
      <w:r w:rsidRPr="000953D9">
        <w:rPr>
          <w:rFonts w:ascii="Times New Roman" w:eastAsia="Batang" w:hAnsi="Times New Roman" w:cs="Times New Roman"/>
          <w:sz w:val="24"/>
          <w:szCs w:val="24"/>
        </w:rPr>
        <w:t>Palua</w:t>
      </w:r>
      <w:proofErr w:type="spellEnd"/>
      <w:r w:rsidRPr="000953D9">
        <w:rPr>
          <w:rFonts w:ascii="Times New Roman" w:eastAsia="Batang" w:hAnsi="Times New Roman" w:cs="Times New Roman"/>
          <w:sz w:val="24"/>
          <w:szCs w:val="24"/>
        </w:rPr>
        <w:t>. These residents obtained temporary permit from the PNR Management to occupy the area as their temporary abode. The backlog is composed of the displaced units totaling to 32 households and the double</w:t>
      </w:r>
      <w:r>
        <w:rPr>
          <w:rFonts w:ascii="Times New Roman" w:eastAsia="Batang" w:hAnsi="Times New Roman" w:cs="Times New Roman"/>
          <w:sz w:val="24"/>
          <w:szCs w:val="24"/>
        </w:rPr>
        <w:t>d</w:t>
      </w:r>
      <w:r w:rsidRPr="000953D9">
        <w:rPr>
          <w:rFonts w:ascii="Times New Roman" w:eastAsia="Batang" w:hAnsi="Times New Roman" w:cs="Times New Roman"/>
          <w:sz w:val="24"/>
          <w:szCs w:val="24"/>
        </w:rPr>
        <w:t xml:space="preserve">-up units or </w:t>
      </w:r>
      <w:r>
        <w:rPr>
          <w:rFonts w:ascii="Times New Roman" w:eastAsia="Batang" w:hAnsi="Times New Roman" w:cs="Times New Roman"/>
          <w:sz w:val="24"/>
          <w:szCs w:val="24"/>
        </w:rPr>
        <w:t>extended</w:t>
      </w:r>
      <w:r w:rsidRPr="000953D9">
        <w:rPr>
          <w:rFonts w:ascii="Times New Roman" w:eastAsia="Batang" w:hAnsi="Times New Roman" w:cs="Times New Roman"/>
          <w:sz w:val="24"/>
          <w:szCs w:val="24"/>
        </w:rPr>
        <w:t xml:space="preserve"> numbering some 3,176 households.</w:t>
      </w:r>
    </w:p>
    <w:p w:rsidR="00321504" w:rsidRPr="00F961C5" w:rsidRDefault="00321504" w:rsidP="00321504">
      <w:pPr>
        <w:pStyle w:val="ListParagraph"/>
        <w:ind w:left="1446"/>
        <w:jc w:val="center"/>
        <w:rPr>
          <w:rFonts w:ascii="Times New Roman" w:eastAsia="Batang" w:hAnsi="Times New Roman" w:cs="Times New Roman"/>
          <w:b/>
          <w:color w:val="000000" w:themeColor="text1"/>
          <w:sz w:val="24"/>
          <w:szCs w:val="24"/>
        </w:rPr>
      </w:pPr>
      <w:r w:rsidRPr="00F961C5">
        <w:rPr>
          <w:rFonts w:ascii="Times New Roman" w:eastAsia="Batang" w:hAnsi="Times New Roman" w:cs="Times New Roman"/>
          <w:b/>
          <w:color w:val="000000" w:themeColor="text1"/>
          <w:sz w:val="24"/>
          <w:szCs w:val="24"/>
        </w:rPr>
        <w:t xml:space="preserve">Table </w:t>
      </w:r>
      <w:r>
        <w:rPr>
          <w:rFonts w:ascii="Times New Roman" w:eastAsia="Batang" w:hAnsi="Times New Roman" w:cs="Times New Roman"/>
          <w:b/>
          <w:color w:val="000000" w:themeColor="text1"/>
          <w:sz w:val="24"/>
          <w:szCs w:val="24"/>
        </w:rPr>
        <w:t>49</w:t>
      </w:r>
      <w:r w:rsidRPr="00F961C5">
        <w:rPr>
          <w:rFonts w:ascii="Times New Roman" w:eastAsia="Batang" w:hAnsi="Times New Roman" w:cs="Times New Roman"/>
          <w:b/>
          <w:color w:val="000000" w:themeColor="text1"/>
          <w:sz w:val="24"/>
          <w:szCs w:val="24"/>
        </w:rPr>
        <w:t>: New Housing Units Needed</w:t>
      </w:r>
    </w:p>
    <w:tbl>
      <w:tblPr>
        <w:tblStyle w:val="TableGrid"/>
        <w:tblW w:w="0" w:type="auto"/>
        <w:tblInd w:w="1446" w:type="dxa"/>
        <w:tblLook w:val="04A0" w:firstRow="1" w:lastRow="0" w:firstColumn="1" w:lastColumn="0" w:noHBand="0" w:noVBand="1"/>
      </w:tblPr>
      <w:tblGrid>
        <w:gridCol w:w="2069"/>
        <w:gridCol w:w="2029"/>
        <w:gridCol w:w="2000"/>
        <w:gridCol w:w="2032"/>
      </w:tblGrid>
      <w:tr w:rsidR="00321504" w:rsidTr="00B66822">
        <w:trPr>
          <w:trHeight w:val="20"/>
        </w:trPr>
        <w:tc>
          <w:tcPr>
            <w:tcW w:w="2069" w:type="dxa"/>
            <w:vMerge w:val="restart"/>
            <w:vAlign w:val="center"/>
          </w:tcPr>
          <w:p w:rsidR="00321504" w:rsidRPr="00F961C5" w:rsidRDefault="00321504" w:rsidP="00B66822">
            <w:pPr>
              <w:pStyle w:val="ListParagraph"/>
              <w:spacing w:after="0" w:line="240" w:lineRule="auto"/>
              <w:ind w:left="0"/>
              <w:jc w:val="center"/>
              <w:rPr>
                <w:rFonts w:ascii="Times New Roman" w:eastAsia="Batang" w:hAnsi="Times New Roman" w:cs="Times New Roman"/>
                <w:b/>
                <w:sz w:val="24"/>
                <w:szCs w:val="24"/>
              </w:rPr>
            </w:pPr>
            <w:r w:rsidRPr="00F961C5">
              <w:rPr>
                <w:rFonts w:ascii="Times New Roman" w:eastAsia="Batang" w:hAnsi="Times New Roman" w:cs="Times New Roman"/>
                <w:b/>
                <w:sz w:val="24"/>
                <w:szCs w:val="24"/>
              </w:rPr>
              <w:t>Types</w:t>
            </w:r>
          </w:p>
        </w:tc>
        <w:tc>
          <w:tcPr>
            <w:tcW w:w="4029" w:type="dxa"/>
            <w:gridSpan w:val="2"/>
            <w:vAlign w:val="center"/>
          </w:tcPr>
          <w:p w:rsidR="00321504" w:rsidRPr="00F961C5" w:rsidRDefault="00321504" w:rsidP="00B66822">
            <w:pPr>
              <w:pStyle w:val="ListParagraph"/>
              <w:spacing w:after="0" w:line="240" w:lineRule="auto"/>
              <w:ind w:left="0"/>
              <w:jc w:val="center"/>
              <w:rPr>
                <w:rFonts w:ascii="Times New Roman" w:eastAsia="Batang" w:hAnsi="Times New Roman" w:cs="Times New Roman"/>
                <w:b/>
                <w:sz w:val="24"/>
                <w:szCs w:val="24"/>
              </w:rPr>
            </w:pPr>
            <w:r w:rsidRPr="00F961C5">
              <w:rPr>
                <w:rFonts w:ascii="Times New Roman" w:eastAsia="Batang" w:hAnsi="Times New Roman" w:cs="Times New Roman"/>
                <w:b/>
                <w:sz w:val="24"/>
                <w:szCs w:val="24"/>
              </w:rPr>
              <w:t>Housing Units</w:t>
            </w:r>
          </w:p>
        </w:tc>
        <w:tc>
          <w:tcPr>
            <w:tcW w:w="2032" w:type="dxa"/>
            <w:vMerge w:val="restart"/>
            <w:vAlign w:val="center"/>
          </w:tcPr>
          <w:p w:rsidR="00321504" w:rsidRPr="00F961C5" w:rsidRDefault="00321504" w:rsidP="00B66822">
            <w:pPr>
              <w:pStyle w:val="ListParagraph"/>
              <w:spacing w:after="0" w:line="240" w:lineRule="auto"/>
              <w:ind w:left="0"/>
              <w:jc w:val="center"/>
              <w:rPr>
                <w:rFonts w:ascii="Times New Roman" w:eastAsia="Batang" w:hAnsi="Times New Roman" w:cs="Times New Roman"/>
                <w:b/>
                <w:sz w:val="24"/>
                <w:szCs w:val="24"/>
              </w:rPr>
            </w:pPr>
            <w:r w:rsidRPr="00F961C5">
              <w:rPr>
                <w:rFonts w:ascii="Times New Roman" w:eastAsia="Batang" w:hAnsi="Times New Roman" w:cs="Times New Roman"/>
                <w:b/>
                <w:sz w:val="24"/>
                <w:szCs w:val="24"/>
              </w:rPr>
              <w:t>Program Period</w:t>
            </w:r>
          </w:p>
        </w:tc>
      </w:tr>
      <w:tr w:rsidR="00321504" w:rsidTr="00B66822">
        <w:trPr>
          <w:trHeight w:val="20"/>
        </w:trPr>
        <w:tc>
          <w:tcPr>
            <w:tcW w:w="2069" w:type="dxa"/>
            <w:vMerge/>
          </w:tcPr>
          <w:p w:rsidR="00321504" w:rsidRDefault="00321504" w:rsidP="00B66822">
            <w:pPr>
              <w:pStyle w:val="ListParagraph"/>
              <w:spacing w:after="0" w:line="240" w:lineRule="auto"/>
              <w:ind w:left="0"/>
              <w:jc w:val="both"/>
              <w:rPr>
                <w:rFonts w:ascii="Times New Roman" w:eastAsia="Batang" w:hAnsi="Times New Roman" w:cs="Times New Roman"/>
                <w:sz w:val="24"/>
                <w:szCs w:val="24"/>
              </w:rPr>
            </w:pPr>
          </w:p>
        </w:tc>
        <w:tc>
          <w:tcPr>
            <w:tcW w:w="2029" w:type="dxa"/>
            <w:vAlign w:val="center"/>
          </w:tcPr>
          <w:p w:rsidR="00321504" w:rsidRPr="00F961C5" w:rsidRDefault="00321504" w:rsidP="00B66822">
            <w:pPr>
              <w:pStyle w:val="ListParagraph"/>
              <w:spacing w:after="0" w:line="240" w:lineRule="auto"/>
              <w:ind w:left="0"/>
              <w:jc w:val="center"/>
              <w:rPr>
                <w:rFonts w:ascii="Times New Roman" w:eastAsia="Batang" w:hAnsi="Times New Roman" w:cs="Times New Roman"/>
                <w:b/>
                <w:sz w:val="24"/>
                <w:szCs w:val="24"/>
              </w:rPr>
            </w:pPr>
            <w:r w:rsidRPr="00F961C5">
              <w:rPr>
                <w:rFonts w:ascii="Times New Roman" w:eastAsia="Batang" w:hAnsi="Times New Roman" w:cs="Times New Roman"/>
                <w:b/>
                <w:sz w:val="24"/>
                <w:szCs w:val="24"/>
              </w:rPr>
              <w:t>Total</w:t>
            </w:r>
          </w:p>
        </w:tc>
        <w:tc>
          <w:tcPr>
            <w:tcW w:w="2000" w:type="dxa"/>
            <w:vAlign w:val="center"/>
          </w:tcPr>
          <w:p w:rsidR="00321504" w:rsidRPr="00F961C5" w:rsidRDefault="00321504" w:rsidP="00B66822">
            <w:pPr>
              <w:pStyle w:val="ListParagraph"/>
              <w:spacing w:after="0" w:line="240" w:lineRule="auto"/>
              <w:ind w:left="0"/>
              <w:jc w:val="center"/>
              <w:rPr>
                <w:rFonts w:ascii="Times New Roman" w:eastAsia="Batang" w:hAnsi="Times New Roman" w:cs="Times New Roman"/>
                <w:b/>
                <w:sz w:val="24"/>
                <w:szCs w:val="24"/>
              </w:rPr>
            </w:pPr>
            <w:r w:rsidRPr="00F961C5">
              <w:rPr>
                <w:rFonts w:ascii="Times New Roman" w:eastAsia="Batang" w:hAnsi="Times New Roman" w:cs="Times New Roman"/>
                <w:b/>
                <w:sz w:val="24"/>
                <w:szCs w:val="24"/>
              </w:rPr>
              <w:t>Annual</w:t>
            </w:r>
          </w:p>
        </w:tc>
        <w:tc>
          <w:tcPr>
            <w:tcW w:w="2032" w:type="dxa"/>
            <w:vMerge/>
          </w:tcPr>
          <w:p w:rsidR="00321504" w:rsidRDefault="00321504" w:rsidP="00B66822">
            <w:pPr>
              <w:pStyle w:val="ListParagraph"/>
              <w:spacing w:after="0" w:line="240" w:lineRule="auto"/>
              <w:ind w:left="0"/>
              <w:jc w:val="both"/>
              <w:rPr>
                <w:rFonts w:ascii="Times New Roman" w:eastAsia="Batang" w:hAnsi="Times New Roman" w:cs="Times New Roman"/>
                <w:sz w:val="24"/>
                <w:szCs w:val="24"/>
              </w:rPr>
            </w:pPr>
          </w:p>
        </w:tc>
      </w:tr>
      <w:tr w:rsidR="00321504" w:rsidTr="00B66822">
        <w:trPr>
          <w:trHeight w:val="20"/>
        </w:trPr>
        <w:tc>
          <w:tcPr>
            <w:tcW w:w="2069"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Doubled-Up</w:t>
            </w:r>
          </w:p>
        </w:tc>
        <w:tc>
          <w:tcPr>
            <w:tcW w:w="2029"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3,176</w:t>
            </w:r>
          </w:p>
        </w:tc>
        <w:tc>
          <w:tcPr>
            <w:tcW w:w="2000"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397</w:t>
            </w:r>
          </w:p>
        </w:tc>
        <w:tc>
          <w:tcPr>
            <w:tcW w:w="2032"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2019-2026</w:t>
            </w:r>
          </w:p>
        </w:tc>
      </w:tr>
      <w:tr w:rsidR="00321504" w:rsidTr="00B66822">
        <w:trPr>
          <w:trHeight w:val="20"/>
        </w:trPr>
        <w:tc>
          <w:tcPr>
            <w:tcW w:w="2069"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Displaced</w:t>
            </w:r>
          </w:p>
        </w:tc>
        <w:tc>
          <w:tcPr>
            <w:tcW w:w="2029"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32</w:t>
            </w:r>
          </w:p>
        </w:tc>
        <w:tc>
          <w:tcPr>
            <w:tcW w:w="2000"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10</w:t>
            </w:r>
          </w:p>
        </w:tc>
        <w:tc>
          <w:tcPr>
            <w:tcW w:w="2032"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2016-2018</w:t>
            </w:r>
          </w:p>
        </w:tc>
      </w:tr>
      <w:tr w:rsidR="00321504" w:rsidTr="00B66822">
        <w:trPr>
          <w:trHeight w:val="20"/>
        </w:trPr>
        <w:tc>
          <w:tcPr>
            <w:tcW w:w="2069"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Homeless</w:t>
            </w:r>
          </w:p>
        </w:tc>
        <w:tc>
          <w:tcPr>
            <w:tcW w:w="2029"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0</w:t>
            </w:r>
          </w:p>
        </w:tc>
        <w:tc>
          <w:tcPr>
            <w:tcW w:w="2000"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0</w:t>
            </w:r>
          </w:p>
        </w:tc>
        <w:tc>
          <w:tcPr>
            <w:tcW w:w="2032" w:type="dxa"/>
            <w:vAlign w:val="center"/>
          </w:tcPr>
          <w:p w:rsidR="00321504" w:rsidRDefault="00321504" w:rsidP="00B66822">
            <w:pPr>
              <w:pStyle w:val="ListParagraph"/>
              <w:spacing w:after="0" w:line="240" w:lineRule="auto"/>
              <w:ind w:left="0"/>
              <w:jc w:val="center"/>
              <w:rPr>
                <w:rFonts w:ascii="Times New Roman" w:eastAsia="Batang" w:hAnsi="Times New Roman" w:cs="Times New Roman"/>
                <w:sz w:val="24"/>
                <w:szCs w:val="24"/>
              </w:rPr>
            </w:pPr>
            <w:r>
              <w:rPr>
                <w:rFonts w:ascii="Times New Roman" w:eastAsia="Batang" w:hAnsi="Times New Roman" w:cs="Times New Roman"/>
                <w:sz w:val="24"/>
                <w:szCs w:val="24"/>
              </w:rPr>
              <w:t>0</w:t>
            </w:r>
          </w:p>
        </w:tc>
      </w:tr>
      <w:tr w:rsidR="00321504" w:rsidTr="00B66822">
        <w:trPr>
          <w:trHeight w:val="20"/>
        </w:trPr>
        <w:tc>
          <w:tcPr>
            <w:tcW w:w="2069"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TOTAL</w:t>
            </w:r>
          </w:p>
        </w:tc>
        <w:tc>
          <w:tcPr>
            <w:tcW w:w="2029"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3,208</w:t>
            </w:r>
          </w:p>
        </w:tc>
        <w:tc>
          <w:tcPr>
            <w:tcW w:w="2000"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407</w:t>
            </w:r>
          </w:p>
        </w:tc>
        <w:tc>
          <w:tcPr>
            <w:tcW w:w="2032"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p>
        </w:tc>
      </w:tr>
    </w:tbl>
    <w:p w:rsidR="00321504" w:rsidRPr="003C7BE6" w:rsidRDefault="00321504" w:rsidP="00321504">
      <w:pPr>
        <w:pStyle w:val="ListParagraph"/>
        <w:ind w:left="1446"/>
        <w:jc w:val="both"/>
        <w:rPr>
          <w:rFonts w:ascii="Times New Roman" w:eastAsia="Batang" w:hAnsi="Times New Roman" w:cs="Times New Roman"/>
          <w:i/>
          <w:sz w:val="20"/>
          <w:szCs w:val="20"/>
        </w:rPr>
      </w:pPr>
      <w:r w:rsidRPr="003C7BE6">
        <w:rPr>
          <w:rFonts w:ascii="Times New Roman" w:eastAsia="Batang" w:hAnsi="Times New Roman" w:cs="Times New Roman"/>
          <w:i/>
          <w:sz w:val="20"/>
          <w:szCs w:val="20"/>
        </w:rPr>
        <w:t>Source: MPT Computation</w:t>
      </w:r>
    </w:p>
    <w:p w:rsidR="00321504" w:rsidRDefault="00321504" w:rsidP="00321504">
      <w:pPr>
        <w:pStyle w:val="ListParagraph"/>
        <w:ind w:left="1446"/>
        <w:jc w:val="both"/>
        <w:rPr>
          <w:rFonts w:ascii="Times New Roman" w:eastAsia="Batang" w:hAnsi="Times New Roman" w:cs="Times New Roman"/>
          <w:sz w:val="24"/>
          <w:szCs w:val="24"/>
        </w:rPr>
      </w:pPr>
    </w:p>
    <w:p w:rsidR="00321504" w:rsidRPr="00C570D4" w:rsidRDefault="00321504" w:rsidP="00321504">
      <w:pPr>
        <w:spacing w:line="360" w:lineRule="auto"/>
        <w:ind w:left="1440"/>
        <w:jc w:val="both"/>
        <w:rPr>
          <w:rFonts w:ascii="Times New Roman" w:eastAsia="Batang" w:hAnsi="Times New Roman" w:cs="Times New Roman"/>
          <w:sz w:val="24"/>
          <w:szCs w:val="24"/>
        </w:rPr>
      </w:pPr>
      <w:r w:rsidRPr="000953D9">
        <w:rPr>
          <w:rFonts w:ascii="Times New Roman" w:eastAsia="Batang" w:hAnsi="Times New Roman" w:cs="Times New Roman"/>
          <w:sz w:val="24"/>
          <w:szCs w:val="24"/>
        </w:rPr>
        <w:t xml:space="preserve">Using the growth rate of 1.33% the population was projected for the planning period 2016-2026 and the corresponding increase in the number of households or what is likewise referred to as future need was computed to be 2,438 as shown in </w:t>
      </w:r>
      <w:r>
        <w:rPr>
          <w:rFonts w:ascii="Times New Roman" w:eastAsia="Batang" w:hAnsi="Times New Roman" w:cs="Times New Roman"/>
          <w:sz w:val="24"/>
          <w:szCs w:val="24"/>
        </w:rPr>
        <w:t>T</w:t>
      </w:r>
      <w:r w:rsidRPr="000953D9">
        <w:rPr>
          <w:rFonts w:ascii="Times New Roman" w:eastAsia="Batang" w:hAnsi="Times New Roman" w:cs="Times New Roman"/>
          <w:sz w:val="24"/>
          <w:szCs w:val="24"/>
        </w:rPr>
        <w:t>able</w:t>
      </w:r>
      <w:r>
        <w:rPr>
          <w:rFonts w:ascii="Times New Roman" w:eastAsia="Batang" w:hAnsi="Times New Roman" w:cs="Times New Roman"/>
          <w:sz w:val="24"/>
          <w:szCs w:val="24"/>
        </w:rPr>
        <w:t xml:space="preserve"> 50</w:t>
      </w:r>
      <w:r w:rsidRPr="000953D9">
        <w:rPr>
          <w:rFonts w:ascii="Times New Roman" w:eastAsia="Batang" w:hAnsi="Times New Roman" w:cs="Times New Roman"/>
          <w:sz w:val="24"/>
          <w:szCs w:val="24"/>
        </w:rPr>
        <w:t>.</w:t>
      </w:r>
    </w:p>
    <w:p w:rsidR="00321504" w:rsidRPr="00077EE5" w:rsidRDefault="00321504" w:rsidP="00321504">
      <w:pPr>
        <w:spacing w:after="0" w:line="240" w:lineRule="auto"/>
        <w:ind w:left="720"/>
        <w:contextualSpacing/>
        <w:jc w:val="center"/>
        <w:rPr>
          <w:rFonts w:ascii="Times New Roman" w:eastAsia="Batang" w:hAnsi="Times New Roman" w:cs="Times New Roman"/>
          <w:b/>
          <w:color w:val="000000" w:themeColor="text1"/>
          <w:sz w:val="24"/>
          <w:szCs w:val="24"/>
        </w:rPr>
      </w:pPr>
      <w:r w:rsidRPr="00077EE5">
        <w:rPr>
          <w:rFonts w:ascii="Times New Roman" w:eastAsia="Batang" w:hAnsi="Times New Roman" w:cs="Times New Roman"/>
          <w:b/>
          <w:color w:val="000000" w:themeColor="text1"/>
          <w:sz w:val="24"/>
          <w:szCs w:val="24"/>
        </w:rPr>
        <w:lastRenderedPageBreak/>
        <w:t>Table 5</w:t>
      </w:r>
      <w:r>
        <w:rPr>
          <w:rFonts w:ascii="Times New Roman" w:eastAsia="Batang" w:hAnsi="Times New Roman" w:cs="Times New Roman"/>
          <w:b/>
          <w:color w:val="000000" w:themeColor="text1"/>
          <w:sz w:val="24"/>
          <w:szCs w:val="24"/>
        </w:rPr>
        <w:t>0</w:t>
      </w:r>
      <w:r w:rsidRPr="00077EE5">
        <w:rPr>
          <w:rFonts w:ascii="Times New Roman" w:eastAsia="Batang" w:hAnsi="Times New Roman" w:cs="Times New Roman"/>
          <w:b/>
          <w:color w:val="000000" w:themeColor="text1"/>
          <w:sz w:val="24"/>
          <w:szCs w:val="24"/>
        </w:rPr>
        <w:t>: Housing Units Needed Due to Population Growth</w:t>
      </w:r>
    </w:p>
    <w:tbl>
      <w:tblPr>
        <w:tblStyle w:val="TableGrid"/>
        <w:tblW w:w="0" w:type="auto"/>
        <w:tblInd w:w="2088" w:type="dxa"/>
        <w:tblLook w:val="04A0" w:firstRow="1" w:lastRow="0" w:firstColumn="1" w:lastColumn="0" w:noHBand="0" w:noVBand="1"/>
      </w:tblPr>
      <w:tblGrid>
        <w:gridCol w:w="2971"/>
        <w:gridCol w:w="1637"/>
        <w:gridCol w:w="1710"/>
      </w:tblGrid>
      <w:tr w:rsidR="00321504" w:rsidTr="00B66822">
        <w:trPr>
          <w:trHeight w:val="288"/>
        </w:trPr>
        <w:tc>
          <w:tcPr>
            <w:tcW w:w="2971" w:type="dxa"/>
            <w:vAlign w:val="center"/>
          </w:tcPr>
          <w:p w:rsidR="00321504" w:rsidRPr="00077EE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077EE5">
              <w:rPr>
                <w:rFonts w:ascii="Times New Roman" w:eastAsia="Batang" w:hAnsi="Times New Roman" w:cs="Times New Roman"/>
                <w:b/>
                <w:color w:val="000000" w:themeColor="text1"/>
                <w:sz w:val="24"/>
                <w:szCs w:val="24"/>
              </w:rPr>
              <w:t>Planning Period</w:t>
            </w:r>
          </w:p>
        </w:tc>
        <w:tc>
          <w:tcPr>
            <w:tcW w:w="1637" w:type="dxa"/>
            <w:vAlign w:val="center"/>
          </w:tcPr>
          <w:p w:rsidR="00321504" w:rsidRPr="00077EE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077EE5">
              <w:rPr>
                <w:rFonts w:ascii="Times New Roman" w:eastAsia="Batang" w:hAnsi="Times New Roman" w:cs="Times New Roman"/>
                <w:b/>
                <w:color w:val="000000" w:themeColor="text1"/>
                <w:sz w:val="24"/>
                <w:szCs w:val="24"/>
              </w:rPr>
              <w:t>Annual</w:t>
            </w:r>
          </w:p>
        </w:tc>
        <w:tc>
          <w:tcPr>
            <w:tcW w:w="1710" w:type="dxa"/>
            <w:vAlign w:val="center"/>
          </w:tcPr>
          <w:p w:rsidR="00321504" w:rsidRPr="00077EE5"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077EE5">
              <w:rPr>
                <w:rFonts w:ascii="Times New Roman" w:eastAsia="Batang" w:hAnsi="Times New Roman" w:cs="Times New Roman"/>
                <w:b/>
                <w:color w:val="000000" w:themeColor="text1"/>
                <w:sz w:val="24"/>
                <w:szCs w:val="24"/>
              </w:rPr>
              <w:t>Total</w:t>
            </w:r>
          </w:p>
        </w:tc>
      </w:tr>
      <w:tr w:rsidR="00321504" w:rsidTr="00B66822">
        <w:trPr>
          <w:trHeight w:val="288"/>
        </w:trPr>
        <w:tc>
          <w:tcPr>
            <w:tcW w:w="297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2016-2019</w:t>
            </w:r>
          </w:p>
        </w:tc>
        <w:tc>
          <w:tcPr>
            <w:tcW w:w="1637"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195</w:t>
            </w:r>
          </w:p>
        </w:tc>
        <w:tc>
          <w:tcPr>
            <w:tcW w:w="171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780</w:t>
            </w:r>
          </w:p>
        </w:tc>
      </w:tr>
      <w:tr w:rsidR="00321504" w:rsidTr="00B66822">
        <w:trPr>
          <w:trHeight w:val="288"/>
        </w:trPr>
        <w:tc>
          <w:tcPr>
            <w:tcW w:w="297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2020-2023</w:t>
            </w:r>
          </w:p>
        </w:tc>
        <w:tc>
          <w:tcPr>
            <w:tcW w:w="1637"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203</w:t>
            </w:r>
          </w:p>
        </w:tc>
        <w:tc>
          <w:tcPr>
            <w:tcW w:w="171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812</w:t>
            </w:r>
          </w:p>
        </w:tc>
      </w:tr>
      <w:tr w:rsidR="00321504" w:rsidTr="00B66822">
        <w:trPr>
          <w:trHeight w:val="288"/>
        </w:trPr>
        <w:tc>
          <w:tcPr>
            <w:tcW w:w="2971"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2024-2026</w:t>
            </w:r>
          </w:p>
        </w:tc>
        <w:tc>
          <w:tcPr>
            <w:tcW w:w="1637"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282</w:t>
            </w:r>
          </w:p>
        </w:tc>
        <w:tc>
          <w:tcPr>
            <w:tcW w:w="171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846</w:t>
            </w:r>
          </w:p>
        </w:tc>
      </w:tr>
      <w:tr w:rsidR="00321504" w:rsidTr="00B66822">
        <w:trPr>
          <w:trHeight w:val="288"/>
        </w:trPr>
        <w:tc>
          <w:tcPr>
            <w:tcW w:w="2971" w:type="dxa"/>
            <w:vAlign w:val="center"/>
          </w:tcPr>
          <w:p w:rsidR="00321504" w:rsidRPr="00DA52F2"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DA52F2">
              <w:rPr>
                <w:rFonts w:ascii="Times New Roman" w:eastAsia="Batang" w:hAnsi="Times New Roman" w:cs="Times New Roman"/>
                <w:b/>
                <w:color w:val="000000" w:themeColor="text1"/>
                <w:sz w:val="24"/>
                <w:szCs w:val="24"/>
              </w:rPr>
              <w:t>Total</w:t>
            </w:r>
          </w:p>
        </w:tc>
        <w:tc>
          <w:tcPr>
            <w:tcW w:w="1637" w:type="dxa"/>
            <w:vAlign w:val="center"/>
          </w:tcPr>
          <w:p w:rsidR="00321504" w:rsidRPr="00DA52F2"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680</w:t>
            </w:r>
          </w:p>
        </w:tc>
        <w:tc>
          <w:tcPr>
            <w:tcW w:w="1710" w:type="dxa"/>
            <w:vAlign w:val="center"/>
          </w:tcPr>
          <w:p w:rsidR="00321504" w:rsidRDefault="00321504" w:rsidP="00B66822">
            <w:pPr>
              <w:spacing w:after="0" w:line="240" w:lineRule="auto"/>
              <w:contextualSpacing/>
              <w:jc w:val="center"/>
              <w:rPr>
                <w:rFonts w:ascii="Times New Roman" w:eastAsia="Batang" w:hAnsi="Times New Roman" w:cs="Times New Roman"/>
                <w:color w:val="000000" w:themeColor="text1"/>
                <w:sz w:val="24"/>
                <w:szCs w:val="24"/>
              </w:rPr>
            </w:pPr>
            <w:r w:rsidRPr="00DA52F2">
              <w:rPr>
                <w:rFonts w:ascii="Times New Roman" w:eastAsia="Batang" w:hAnsi="Times New Roman" w:cs="Times New Roman"/>
                <w:b/>
                <w:color w:val="000000" w:themeColor="text1"/>
                <w:sz w:val="24"/>
                <w:szCs w:val="24"/>
              </w:rPr>
              <w:t>2,438</w:t>
            </w:r>
          </w:p>
        </w:tc>
      </w:tr>
    </w:tbl>
    <w:p w:rsidR="00321504" w:rsidRPr="00077EE5" w:rsidRDefault="00321504" w:rsidP="00321504">
      <w:pPr>
        <w:spacing w:after="0" w:line="240" w:lineRule="auto"/>
        <w:ind w:left="720"/>
        <w:contextualSpacing/>
        <w:jc w:val="both"/>
        <w:rPr>
          <w:rFonts w:ascii="Times New Roman" w:eastAsia="Batang" w:hAnsi="Times New Roman" w:cs="Times New Roman"/>
          <w:i/>
          <w:color w:val="000000" w:themeColor="text1"/>
          <w:sz w:val="20"/>
          <w:szCs w:val="20"/>
        </w:rPr>
      </w:pPr>
      <w:r>
        <w:rPr>
          <w:rFonts w:ascii="Times New Roman" w:eastAsia="Batang" w:hAnsi="Times New Roman" w:cs="Times New Roman"/>
          <w:color w:val="000000" w:themeColor="text1"/>
          <w:sz w:val="24"/>
          <w:szCs w:val="24"/>
        </w:rPr>
        <w:tab/>
      </w:r>
      <w:r>
        <w:rPr>
          <w:rFonts w:ascii="Times New Roman" w:eastAsia="Batang" w:hAnsi="Times New Roman" w:cs="Times New Roman"/>
          <w:color w:val="000000" w:themeColor="text1"/>
          <w:sz w:val="24"/>
          <w:szCs w:val="24"/>
        </w:rPr>
        <w:tab/>
      </w:r>
      <w:r w:rsidRPr="00077EE5">
        <w:rPr>
          <w:rFonts w:ascii="Times New Roman" w:eastAsia="Batang" w:hAnsi="Times New Roman" w:cs="Times New Roman"/>
          <w:i/>
          <w:color w:val="000000" w:themeColor="text1"/>
          <w:sz w:val="20"/>
          <w:szCs w:val="20"/>
        </w:rPr>
        <w:t>Source: MPT Computations</w:t>
      </w:r>
    </w:p>
    <w:p w:rsidR="00321504" w:rsidRDefault="00321504" w:rsidP="00321504">
      <w:pPr>
        <w:pStyle w:val="ListParagraph"/>
        <w:ind w:left="1446"/>
        <w:jc w:val="both"/>
        <w:rPr>
          <w:rFonts w:ascii="Times New Roman" w:eastAsia="Batang" w:hAnsi="Times New Roman" w:cs="Times New Roman"/>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Based on the assumptions made in the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 xml:space="preserve"> Local Shelter Plan </w:t>
      </w:r>
      <w:r w:rsidRPr="008E00C2">
        <w:rPr>
          <w:rFonts w:ascii="Times New Roman" w:eastAsia="Batang" w:hAnsi="Times New Roman" w:cs="Times New Roman"/>
          <w:color w:val="000000" w:themeColor="text1"/>
          <w:sz w:val="24"/>
          <w:szCs w:val="24"/>
        </w:rPr>
        <w:t xml:space="preserve">the computed growth rate </w:t>
      </w:r>
      <w:r>
        <w:rPr>
          <w:rFonts w:ascii="Times New Roman" w:eastAsia="Batang" w:hAnsi="Times New Roman" w:cs="Times New Roman"/>
          <w:color w:val="000000" w:themeColor="text1"/>
          <w:sz w:val="24"/>
          <w:szCs w:val="24"/>
        </w:rPr>
        <w:t xml:space="preserve">of 1.33 percent is used to compute for the </w:t>
      </w:r>
      <w:r w:rsidRPr="008E00C2">
        <w:rPr>
          <w:rFonts w:ascii="Times New Roman" w:eastAsia="Batang" w:hAnsi="Times New Roman" w:cs="Times New Roman"/>
          <w:color w:val="000000" w:themeColor="text1"/>
          <w:sz w:val="24"/>
          <w:szCs w:val="24"/>
        </w:rPr>
        <w:t xml:space="preserve">following current and projected housing requirement with its corresponding land demand for the next ten (10) years. Using the computed residential density </w:t>
      </w:r>
      <w:r>
        <w:rPr>
          <w:rFonts w:ascii="Times New Roman" w:eastAsia="Batang" w:hAnsi="Times New Roman" w:cs="Times New Roman"/>
          <w:color w:val="000000" w:themeColor="text1"/>
          <w:sz w:val="24"/>
          <w:szCs w:val="24"/>
        </w:rPr>
        <w:t>22 hectares</w:t>
      </w:r>
      <w:r w:rsidRPr="008E00C2">
        <w:rPr>
          <w:rFonts w:ascii="Times New Roman" w:eastAsia="Batang" w:hAnsi="Times New Roman" w:cs="Times New Roman"/>
          <w:color w:val="000000" w:themeColor="text1"/>
          <w:sz w:val="24"/>
          <w:szCs w:val="24"/>
        </w:rPr>
        <w:t xml:space="preserve"> and with th</w:t>
      </w:r>
      <w:r>
        <w:rPr>
          <w:rFonts w:ascii="Times New Roman" w:eastAsia="Batang" w:hAnsi="Times New Roman" w:cs="Times New Roman"/>
          <w:color w:val="000000" w:themeColor="text1"/>
          <w:sz w:val="24"/>
          <w:szCs w:val="24"/>
        </w:rPr>
        <w:t>e average household size of 6</w:t>
      </w:r>
      <w:r w:rsidRPr="008E00C2">
        <w:rPr>
          <w:rFonts w:ascii="Times New Roman" w:eastAsia="Batang" w:hAnsi="Times New Roman" w:cs="Times New Roman"/>
          <w:color w:val="000000" w:themeColor="text1"/>
          <w:sz w:val="24"/>
          <w:szCs w:val="24"/>
        </w:rPr>
        <w:t xml:space="preserve">, the Municipality of </w:t>
      </w:r>
      <w:proofErr w:type="spellStart"/>
      <w:r w:rsidRPr="008E00C2">
        <w:rPr>
          <w:rFonts w:ascii="Times New Roman" w:eastAsia="Batang" w:hAnsi="Times New Roman" w:cs="Times New Roman"/>
          <w:color w:val="000000" w:themeColor="text1"/>
          <w:sz w:val="24"/>
          <w:szCs w:val="24"/>
        </w:rPr>
        <w:t>Mangaldan</w:t>
      </w:r>
      <w:proofErr w:type="spellEnd"/>
      <w:r w:rsidRPr="008E00C2">
        <w:rPr>
          <w:rFonts w:ascii="Times New Roman" w:eastAsia="Batang" w:hAnsi="Times New Roman" w:cs="Times New Roman"/>
          <w:color w:val="000000" w:themeColor="text1"/>
          <w:sz w:val="24"/>
          <w:szCs w:val="24"/>
        </w:rPr>
        <w:t xml:space="preserve"> residential area</w:t>
      </w:r>
      <w:r>
        <w:rPr>
          <w:rFonts w:ascii="Times New Roman" w:eastAsia="Batang" w:hAnsi="Times New Roman" w:cs="Times New Roman"/>
          <w:color w:val="000000" w:themeColor="text1"/>
          <w:sz w:val="24"/>
          <w:szCs w:val="24"/>
        </w:rPr>
        <w:t xml:space="preserve"> gives an average lot size of 500 square meters per household</w:t>
      </w:r>
      <w:r w:rsidRPr="008E00C2">
        <w:rPr>
          <w:rFonts w:ascii="Times New Roman" w:eastAsia="Batang" w:hAnsi="Times New Roman" w:cs="Times New Roman"/>
          <w:color w:val="000000" w:themeColor="text1"/>
          <w:sz w:val="24"/>
          <w:szCs w:val="24"/>
        </w:rPr>
        <w:t xml:space="preserve">.  The projected land area for housing by year 2026 estimated to be </w:t>
      </w:r>
      <w:r>
        <w:rPr>
          <w:rFonts w:ascii="Times New Roman" w:eastAsia="Batang" w:hAnsi="Times New Roman" w:cs="Times New Roman"/>
          <w:color w:val="000000" w:themeColor="text1"/>
          <w:sz w:val="24"/>
          <w:szCs w:val="24"/>
        </w:rPr>
        <w:t>266</w:t>
      </w:r>
      <w:r w:rsidRPr="008E00C2">
        <w:rPr>
          <w:rFonts w:ascii="Times New Roman" w:eastAsia="Batang" w:hAnsi="Times New Roman" w:cs="Times New Roman"/>
          <w:color w:val="000000" w:themeColor="text1"/>
          <w:sz w:val="24"/>
          <w:szCs w:val="24"/>
        </w:rPr>
        <w:t xml:space="preserve"> hectares.</w:t>
      </w:r>
    </w:p>
    <w:p w:rsidR="00321504" w:rsidRDefault="00321504" w:rsidP="00321504">
      <w:pPr>
        <w:pStyle w:val="ListParagraph"/>
        <w:ind w:left="1446"/>
        <w:jc w:val="both"/>
        <w:rPr>
          <w:rFonts w:ascii="Times New Roman" w:eastAsia="Batang" w:hAnsi="Times New Roman" w:cs="Times New Roman"/>
          <w:sz w:val="24"/>
          <w:szCs w:val="24"/>
        </w:rPr>
      </w:pPr>
    </w:p>
    <w:p w:rsidR="00321504" w:rsidRPr="00A809C4" w:rsidRDefault="00321504" w:rsidP="00321504">
      <w:pPr>
        <w:pStyle w:val="ListParagraph"/>
        <w:ind w:left="1446" w:hanging="366"/>
        <w:jc w:val="both"/>
        <w:rPr>
          <w:rFonts w:ascii="Times New Roman" w:eastAsia="Batang" w:hAnsi="Times New Roman" w:cs="Times New Roman"/>
          <w:b/>
          <w:sz w:val="24"/>
          <w:szCs w:val="24"/>
        </w:rPr>
      </w:pPr>
      <w:r w:rsidRPr="00A809C4">
        <w:rPr>
          <w:rFonts w:ascii="Times New Roman" w:eastAsia="Batang" w:hAnsi="Times New Roman" w:cs="Times New Roman"/>
          <w:b/>
          <w:sz w:val="24"/>
          <w:szCs w:val="24"/>
        </w:rPr>
        <w:t>Table 5</w:t>
      </w:r>
      <w:r>
        <w:rPr>
          <w:rFonts w:ascii="Times New Roman" w:eastAsia="Batang" w:hAnsi="Times New Roman" w:cs="Times New Roman"/>
          <w:b/>
          <w:sz w:val="24"/>
          <w:szCs w:val="24"/>
        </w:rPr>
        <w:t>1</w:t>
      </w:r>
      <w:r w:rsidRPr="00A809C4">
        <w:rPr>
          <w:rFonts w:ascii="Times New Roman" w:eastAsia="Batang" w:hAnsi="Times New Roman" w:cs="Times New Roman"/>
          <w:b/>
          <w:sz w:val="24"/>
          <w:szCs w:val="24"/>
        </w:rPr>
        <w:t>: Total Housing Units Needed Due to Backlog and Population Growth</w:t>
      </w:r>
    </w:p>
    <w:tbl>
      <w:tblPr>
        <w:tblStyle w:val="TableGrid"/>
        <w:tblW w:w="8115" w:type="dxa"/>
        <w:tblInd w:w="1278" w:type="dxa"/>
        <w:tblLook w:val="04A0" w:firstRow="1" w:lastRow="0" w:firstColumn="1" w:lastColumn="0" w:noHBand="0" w:noVBand="1"/>
      </w:tblPr>
      <w:tblGrid>
        <w:gridCol w:w="1631"/>
        <w:gridCol w:w="2161"/>
        <w:gridCol w:w="1788"/>
        <w:gridCol w:w="2535"/>
      </w:tblGrid>
      <w:tr w:rsidR="00321504" w:rsidRPr="00622DB1" w:rsidTr="00B66822">
        <w:trPr>
          <w:trHeight w:val="432"/>
        </w:trPr>
        <w:tc>
          <w:tcPr>
            <w:tcW w:w="1631" w:type="dxa"/>
            <w:vMerge w:val="restart"/>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Planning period</w:t>
            </w:r>
          </w:p>
        </w:tc>
        <w:tc>
          <w:tcPr>
            <w:tcW w:w="6484" w:type="dxa"/>
            <w:gridSpan w:val="3"/>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Housing Units needed</w:t>
            </w:r>
          </w:p>
        </w:tc>
      </w:tr>
      <w:tr w:rsidR="00321504" w:rsidRPr="00622DB1" w:rsidTr="00B66822">
        <w:trPr>
          <w:trHeight w:val="432"/>
        </w:trPr>
        <w:tc>
          <w:tcPr>
            <w:tcW w:w="1631" w:type="dxa"/>
            <w:vMerge/>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p>
        </w:tc>
        <w:tc>
          <w:tcPr>
            <w:tcW w:w="2161"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Due to backlog</w:t>
            </w:r>
          </w:p>
        </w:tc>
        <w:tc>
          <w:tcPr>
            <w:tcW w:w="1788"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Due to Population Growth</w:t>
            </w:r>
          </w:p>
        </w:tc>
        <w:tc>
          <w:tcPr>
            <w:tcW w:w="2535"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Pr>
                <w:rFonts w:ascii="Times New Roman" w:eastAsia="Batang" w:hAnsi="Times New Roman" w:cs="Times New Roman"/>
                <w:b/>
                <w:sz w:val="24"/>
                <w:szCs w:val="24"/>
              </w:rPr>
              <w:t>Projected Housing Units Needed Per Period</w:t>
            </w:r>
          </w:p>
        </w:tc>
      </w:tr>
      <w:tr w:rsidR="00321504" w:rsidRPr="00622DB1" w:rsidTr="00B66822">
        <w:trPr>
          <w:trHeight w:val="288"/>
        </w:trPr>
        <w:tc>
          <w:tcPr>
            <w:tcW w:w="1631" w:type="dxa"/>
            <w:vAlign w:val="center"/>
          </w:tcPr>
          <w:p w:rsidR="00321504" w:rsidRPr="00AE18C4" w:rsidRDefault="00321504" w:rsidP="00B66822">
            <w:pPr>
              <w:spacing w:after="0" w:line="240" w:lineRule="auto"/>
              <w:contextualSpacing/>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2016-2019</w:t>
            </w:r>
          </w:p>
        </w:tc>
        <w:tc>
          <w:tcPr>
            <w:tcW w:w="2161" w:type="dxa"/>
            <w:vAlign w:val="center"/>
          </w:tcPr>
          <w:p w:rsidR="00321504" w:rsidRPr="00AE18C4" w:rsidRDefault="00321504" w:rsidP="00B66822">
            <w:pPr>
              <w:pStyle w:val="ListParagraph"/>
              <w:spacing w:after="0" w:line="240" w:lineRule="auto"/>
              <w:ind w:left="0"/>
              <w:rPr>
                <w:rFonts w:ascii="Times New Roman" w:eastAsia="Batang" w:hAnsi="Times New Roman" w:cs="Times New Roman"/>
                <w:sz w:val="24"/>
                <w:szCs w:val="24"/>
              </w:rPr>
            </w:pPr>
            <w:r w:rsidRPr="00AE18C4">
              <w:rPr>
                <w:rFonts w:ascii="Times New Roman" w:eastAsia="Batang" w:hAnsi="Times New Roman" w:cs="Times New Roman"/>
                <w:sz w:val="24"/>
                <w:szCs w:val="24"/>
              </w:rPr>
              <w:t xml:space="preserve">Doubled-up </w:t>
            </w:r>
            <w:r>
              <w:rPr>
                <w:rFonts w:ascii="Times New Roman" w:eastAsia="Batang" w:hAnsi="Times New Roman" w:cs="Times New Roman"/>
                <w:sz w:val="24"/>
                <w:szCs w:val="24"/>
              </w:rPr>
              <w:t xml:space="preserve">: </w:t>
            </w:r>
            <w:r w:rsidRPr="00AE18C4">
              <w:rPr>
                <w:rFonts w:ascii="Times New Roman" w:eastAsia="Batang" w:hAnsi="Times New Roman" w:cs="Times New Roman"/>
                <w:sz w:val="24"/>
                <w:szCs w:val="24"/>
              </w:rPr>
              <w:t>3,176</w:t>
            </w:r>
          </w:p>
        </w:tc>
        <w:tc>
          <w:tcPr>
            <w:tcW w:w="1788"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780</w:t>
            </w:r>
          </w:p>
        </w:tc>
        <w:tc>
          <w:tcPr>
            <w:tcW w:w="2535"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1,870</w:t>
            </w:r>
          </w:p>
        </w:tc>
      </w:tr>
      <w:tr w:rsidR="00321504" w:rsidRPr="00622DB1" w:rsidTr="00B66822">
        <w:trPr>
          <w:trHeight w:val="288"/>
        </w:trPr>
        <w:tc>
          <w:tcPr>
            <w:tcW w:w="1631" w:type="dxa"/>
            <w:vAlign w:val="center"/>
          </w:tcPr>
          <w:p w:rsidR="00321504" w:rsidRPr="00AE18C4" w:rsidRDefault="00321504" w:rsidP="00B66822">
            <w:pPr>
              <w:spacing w:after="0" w:line="240" w:lineRule="auto"/>
              <w:contextualSpacing/>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2020-2023</w:t>
            </w:r>
          </w:p>
        </w:tc>
        <w:tc>
          <w:tcPr>
            <w:tcW w:w="2161" w:type="dxa"/>
            <w:vAlign w:val="center"/>
          </w:tcPr>
          <w:p w:rsidR="00321504" w:rsidRPr="00AE18C4" w:rsidRDefault="00321504" w:rsidP="00B66822">
            <w:pPr>
              <w:pStyle w:val="ListParagraph"/>
              <w:spacing w:after="0" w:line="240" w:lineRule="auto"/>
              <w:ind w:left="0"/>
              <w:rPr>
                <w:rFonts w:ascii="Times New Roman" w:eastAsia="Batang" w:hAnsi="Times New Roman" w:cs="Times New Roman"/>
                <w:sz w:val="24"/>
                <w:szCs w:val="24"/>
              </w:rPr>
            </w:pPr>
            <w:r w:rsidRPr="00AE18C4">
              <w:rPr>
                <w:rFonts w:ascii="Times New Roman" w:eastAsia="Batang" w:hAnsi="Times New Roman" w:cs="Times New Roman"/>
                <w:sz w:val="24"/>
                <w:szCs w:val="24"/>
              </w:rPr>
              <w:t xml:space="preserve">Displaced </w:t>
            </w:r>
            <w:r>
              <w:rPr>
                <w:rFonts w:ascii="Times New Roman" w:eastAsia="Batang" w:hAnsi="Times New Roman" w:cs="Times New Roman"/>
                <w:sz w:val="24"/>
                <w:szCs w:val="24"/>
              </w:rPr>
              <w:t xml:space="preserve">: </w:t>
            </w:r>
            <w:r w:rsidRPr="00AE18C4">
              <w:rPr>
                <w:rFonts w:ascii="Times New Roman" w:eastAsia="Batang" w:hAnsi="Times New Roman" w:cs="Times New Roman"/>
                <w:sz w:val="24"/>
                <w:szCs w:val="24"/>
              </w:rPr>
              <w:t>32</w:t>
            </w:r>
          </w:p>
        </w:tc>
        <w:tc>
          <w:tcPr>
            <w:tcW w:w="1788"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812</w:t>
            </w:r>
          </w:p>
        </w:tc>
        <w:tc>
          <w:tcPr>
            <w:tcW w:w="2535"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1,872</w:t>
            </w:r>
          </w:p>
        </w:tc>
      </w:tr>
      <w:tr w:rsidR="00321504" w:rsidRPr="00622DB1" w:rsidTr="00B66822">
        <w:trPr>
          <w:trHeight w:val="288"/>
        </w:trPr>
        <w:tc>
          <w:tcPr>
            <w:tcW w:w="1631" w:type="dxa"/>
            <w:vAlign w:val="center"/>
          </w:tcPr>
          <w:p w:rsidR="00321504" w:rsidRPr="00AE18C4" w:rsidRDefault="00321504" w:rsidP="00B66822">
            <w:pPr>
              <w:spacing w:after="0" w:line="240" w:lineRule="auto"/>
              <w:contextualSpacing/>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2024-2026</w:t>
            </w:r>
          </w:p>
        </w:tc>
        <w:tc>
          <w:tcPr>
            <w:tcW w:w="2161" w:type="dxa"/>
            <w:vAlign w:val="center"/>
          </w:tcPr>
          <w:p w:rsidR="00321504" w:rsidRPr="00AE18C4" w:rsidRDefault="00321504" w:rsidP="00B66822">
            <w:pPr>
              <w:pStyle w:val="ListParagraph"/>
              <w:spacing w:after="0" w:line="240" w:lineRule="auto"/>
              <w:ind w:left="0"/>
              <w:rPr>
                <w:rFonts w:ascii="Times New Roman" w:eastAsia="Batang" w:hAnsi="Times New Roman" w:cs="Times New Roman"/>
                <w:sz w:val="24"/>
                <w:szCs w:val="24"/>
              </w:rPr>
            </w:pPr>
            <w:r w:rsidRPr="00AE18C4">
              <w:rPr>
                <w:rFonts w:ascii="Times New Roman" w:eastAsia="Batang" w:hAnsi="Times New Roman" w:cs="Times New Roman"/>
                <w:sz w:val="24"/>
                <w:szCs w:val="24"/>
              </w:rPr>
              <w:t>Homeless</w:t>
            </w:r>
            <w:r>
              <w:rPr>
                <w:rFonts w:ascii="Times New Roman" w:eastAsia="Batang" w:hAnsi="Times New Roman" w:cs="Times New Roman"/>
                <w:sz w:val="24"/>
                <w:szCs w:val="24"/>
              </w:rPr>
              <w:t>: 0</w:t>
            </w:r>
          </w:p>
        </w:tc>
        <w:tc>
          <w:tcPr>
            <w:tcW w:w="1788"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846</w:t>
            </w:r>
          </w:p>
        </w:tc>
        <w:tc>
          <w:tcPr>
            <w:tcW w:w="2535"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sz w:val="24"/>
                <w:szCs w:val="24"/>
              </w:rPr>
            </w:pPr>
            <w:r w:rsidRPr="00AE18C4">
              <w:rPr>
                <w:rFonts w:ascii="Times New Roman" w:eastAsia="Batang" w:hAnsi="Times New Roman" w:cs="Times New Roman"/>
                <w:sz w:val="24"/>
                <w:szCs w:val="24"/>
              </w:rPr>
              <w:t>1,905</w:t>
            </w:r>
          </w:p>
        </w:tc>
      </w:tr>
      <w:tr w:rsidR="00321504" w:rsidTr="00B66822">
        <w:trPr>
          <w:trHeight w:val="288"/>
        </w:trPr>
        <w:tc>
          <w:tcPr>
            <w:tcW w:w="1631" w:type="dxa"/>
            <w:vAlign w:val="center"/>
          </w:tcPr>
          <w:p w:rsidR="00321504" w:rsidRPr="00AE18C4" w:rsidRDefault="00321504" w:rsidP="00B66822">
            <w:pPr>
              <w:spacing w:after="0" w:line="240" w:lineRule="auto"/>
              <w:contextualSpacing/>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Total</w:t>
            </w:r>
          </w:p>
        </w:tc>
        <w:tc>
          <w:tcPr>
            <w:tcW w:w="2161"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3,208</w:t>
            </w:r>
          </w:p>
        </w:tc>
        <w:tc>
          <w:tcPr>
            <w:tcW w:w="1788"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3,438</w:t>
            </w:r>
          </w:p>
        </w:tc>
        <w:tc>
          <w:tcPr>
            <w:tcW w:w="2535" w:type="dxa"/>
            <w:vAlign w:val="center"/>
          </w:tcPr>
          <w:p w:rsidR="00321504" w:rsidRPr="00AE18C4" w:rsidRDefault="00321504" w:rsidP="00B66822">
            <w:pPr>
              <w:pStyle w:val="ListParagraph"/>
              <w:spacing w:after="0" w:line="240" w:lineRule="auto"/>
              <w:ind w:left="0"/>
              <w:jc w:val="center"/>
              <w:rPr>
                <w:rFonts w:ascii="Times New Roman" w:eastAsia="Batang" w:hAnsi="Times New Roman" w:cs="Times New Roman"/>
                <w:b/>
                <w:sz w:val="24"/>
                <w:szCs w:val="24"/>
              </w:rPr>
            </w:pPr>
            <w:r w:rsidRPr="00AE18C4">
              <w:rPr>
                <w:rFonts w:ascii="Times New Roman" w:eastAsia="Batang" w:hAnsi="Times New Roman" w:cs="Times New Roman"/>
                <w:b/>
                <w:sz w:val="24"/>
                <w:szCs w:val="24"/>
              </w:rPr>
              <w:t>5,646</w:t>
            </w:r>
          </w:p>
        </w:tc>
      </w:tr>
    </w:tbl>
    <w:p w:rsidR="00321504" w:rsidRPr="00DA52F2" w:rsidRDefault="00321504" w:rsidP="00321504">
      <w:pPr>
        <w:pStyle w:val="ListParagraph"/>
        <w:ind w:left="1446"/>
        <w:jc w:val="both"/>
        <w:rPr>
          <w:rFonts w:ascii="Times New Roman" w:eastAsia="Batang" w:hAnsi="Times New Roman" w:cs="Times New Roman"/>
          <w:i/>
          <w:sz w:val="20"/>
          <w:szCs w:val="20"/>
        </w:rPr>
      </w:pPr>
      <w:r w:rsidRPr="00DA52F2">
        <w:rPr>
          <w:rFonts w:ascii="Times New Roman" w:eastAsia="Batang" w:hAnsi="Times New Roman" w:cs="Times New Roman"/>
          <w:i/>
          <w:sz w:val="20"/>
          <w:szCs w:val="20"/>
        </w:rPr>
        <w:t>Source: MPT Computations</w:t>
      </w:r>
    </w:p>
    <w:p w:rsidR="00321504" w:rsidRDefault="00321504" w:rsidP="00321504">
      <w:pPr>
        <w:pStyle w:val="ListParagraph"/>
        <w:ind w:left="1446"/>
        <w:jc w:val="both"/>
        <w:rPr>
          <w:rFonts w:ascii="Times New Roman" w:eastAsia="Batang" w:hAnsi="Times New Roman" w:cs="Times New Roman"/>
          <w:sz w:val="24"/>
          <w:szCs w:val="24"/>
        </w:rPr>
      </w:pPr>
    </w:p>
    <w:p w:rsidR="00321504" w:rsidRPr="00C570D4"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t>The total demand at the end of the planning period due to backlog and due to population growth is 5,646 units.</w:t>
      </w:r>
    </w:p>
    <w:p w:rsidR="00321504" w:rsidRPr="000953D9" w:rsidRDefault="00321504" w:rsidP="00321504">
      <w:pPr>
        <w:ind w:left="720" w:firstLine="720"/>
        <w:jc w:val="both"/>
        <w:rPr>
          <w:rFonts w:ascii="Times New Roman" w:eastAsia="Batang" w:hAnsi="Times New Roman" w:cs="Times New Roman"/>
          <w:b/>
          <w:i/>
          <w:color w:val="000000" w:themeColor="text1"/>
          <w:sz w:val="24"/>
          <w:szCs w:val="24"/>
        </w:rPr>
      </w:pPr>
      <w:r w:rsidRPr="000953D9">
        <w:rPr>
          <w:rFonts w:ascii="Times New Roman" w:eastAsia="Batang" w:hAnsi="Times New Roman" w:cs="Times New Roman"/>
          <w:b/>
          <w:i/>
          <w:color w:val="000000" w:themeColor="text1"/>
          <w:sz w:val="24"/>
          <w:szCs w:val="24"/>
        </w:rPr>
        <w:t>Availability of Housing Resources: Land, Infrastructure and Financing</w:t>
      </w:r>
    </w:p>
    <w:p w:rsidR="00321504" w:rsidRPr="000953D9"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t>Socialized housing or resettlement areas shall be provided by the local government unit or the National Housing Authority in cooperation with the private developers and concerned agencies with the following basic services and facilities a) Potable water; b) Power and electricity; c) Sewerage facilities, efficient and adequate solid waste disposal system; and d) Access to primary roads and transportation facilities.</w:t>
      </w:r>
    </w:p>
    <w:p w:rsidR="00321504" w:rsidRPr="000953D9"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t>Provision of the basic services such as health, education, communications, security, recreation, relief and welfare shall be planned and shall be given priority for implementation by the local government unit and concerned agencies in cooperation with the private sector and the beneficiaries themselves.</w:t>
      </w:r>
    </w:p>
    <w:p w:rsidR="00321504" w:rsidRPr="000953D9"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lastRenderedPageBreak/>
        <w:t xml:space="preserve">The local government unit in coordination with the concerned national </w:t>
      </w:r>
      <w:proofErr w:type="gramStart"/>
      <w:r w:rsidRPr="000953D9">
        <w:rPr>
          <w:rFonts w:ascii="Times New Roman" w:eastAsia="Batang" w:hAnsi="Times New Roman" w:cs="Times New Roman"/>
          <w:color w:val="000000" w:themeColor="text1"/>
          <w:sz w:val="24"/>
          <w:szCs w:val="24"/>
        </w:rPr>
        <w:t>agencies,</w:t>
      </w:r>
      <w:proofErr w:type="gramEnd"/>
      <w:r w:rsidRPr="000953D9">
        <w:rPr>
          <w:rFonts w:ascii="Times New Roman" w:eastAsia="Batang" w:hAnsi="Times New Roman" w:cs="Times New Roman"/>
          <w:color w:val="000000" w:themeColor="text1"/>
          <w:sz w:val="24"/>
          <w:szCs w:val="24"/>
        </w:rPr>
        <w:t xml:space="preserve"> shall ensure that these basic services are provided at the most coef</w:t>
      </w:r>
      <w:r>
        <w:rPr>
          <w:rFonts w:ascii="Times New Roman" w:eastAsia="Batang" w:hAnsi="Times New Roman" w:cs="Times New Roman"/>
          <w:color w:val="000000" w:themeColor="text1"/>
          <w:sz w:val="24"/>
          <w:szCs w:val="24"/>
        </w:rPr>
        <w:t xml:space="preserve">ficient rates, and shall set a </w:t>
      </w:r>
      <w:r w:rsidRPr="000953D9">
        <w:rPr>
          <w:rFonts w:ascii="Times New Roman" w:eastAsia="Batang" w:hAnsi="Times New Roman" w:cs="Times New Roman"/>
          <w:color w:val="000000" w:themeColor="text1"/>
          <w:sz w:val="24"/>
          <w:szCs w:val="24"/>
        </w:rPr>
        <w:t>mechanism to coordinate operationally the thrust, objectives and activities of other government agencies concerned providing basic services to housing projects.</w:t>
      </w:r>
      <w:r w:rsidRPr="000953D9">
        <w:rPr>
          <w:rFonts w:ascii="Times New Roman" w:eastAsia="Batang" w:hAnsi="Times New Roman" w:cs="Times New Roman"/>
          <w:color w:val="000000" w:themeColor="text1"/>
          <w:sz w:val="24"/>
          <w:szCs w:val="24"/>
        </w:rPr>
        <w:tab/>
      </w:r>
    </w:p>
    <w:p w:rsidR="00321504" w:rsidRPr="000953D9"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t>The modes of acquiring lands for this purpose thru a community mortgage, land swapping, land assembly or consolidation, land banking, donation to the Government, joint-venture agreement, negotiated purchase, and expropriation.  Provide, however, that expropriation shall be resorted to only when other models of acquisition have been exhausted.</w:t>
      </w: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r w:rsidRPr="000953D9">
        <w:rPr>
          <w:rFonts w:ascii="Times New Roman" w:eastAsia="Batang" w:hAnsi="Times New Roman" w:cs="Times New Roman"/>
          <w:color w:val="000000" w:themeColor="text1"/>
          <w:sz w:val="24"/>
          <w:szCs w:val="24"/>
        </w:rPr>
        <w:t>For purposes of socialized housing, government-owned and foreclosed properties shall be acquired by the local government units, or by the National Housing Authority primary through negotiated purchase.  Provided, that qualified beneficiaries who are actual occupant of the land shall be given the right of first refusal.</w:t>
      </w:r>
    </w:p>
    <w:p w:rsidR="00321504" w:rsidRDefault="00321504" w:rsidP="00321504">
      <w:pPr>
        <w:ind w:left="720" w:firstLine="720"/>
        <w:jc w:val="both"/>
        <w:rPr>
          <w:rFonts w:ascii="Times New Roman" w:eastAsia="Batang" w:hAnsi="Times New Roman" w:cs="Times New Roman"/>
          <w:b/>
          <w:i/>
          <w:color w:val="000000" w:themeColor="text1"/>
          <w:sz w:val="24"/>
          <w:szCs w:val="24"/>
        </w:rPr>
      </w:pPr>
      <w:r w:rsidRPr="00622DB1">
        <w:rPr>
          <w:rFonts w:ascii="Times New Roman" w:eastAsia="Batang" w:hAnsi="Times New Roman" w:cs="Times New Roman"/>
          <w:b/>
          <w:i/>
          <w:color w:val="000000" w:themeColor="text1"/>
          <w:sz w:val="24"/>
          <w:szCs w:val="24"/>
        </w:rPr>
        <w:t>Technical Findings and Observations</w:t>
      </w: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r w:rsidRPr="00077EE5">
        <w:rPr>
          <w:rFonts w:ascii="Times New Roman" w:eastAsia="Batang" w:hAnsi="Times New Roman" w:cs="Times New Roman"/>
          <w:color w:val="000000" w:themeColor="text1"/>
          <w:sz w:val="24"/>
          <w:szCs w:val="24"/>
        </w:rPr>
        <w:t xml:space="preserve">The Municipality of </w:t>
      </w:r>
      <w:proofErr w:type="spellStart"/>
      <w:r w:rsidRPr="00077EE5">
        <w:rPr>
          <w:rFonts w:ascii="Times New Roman" w:eastAsia="Batang" w:hAnsi="Times New Roman" w:cs="Times New Roman"/>
          <w:color w:val="000000" w:themeColor="text1"/>
          <w:sz w:val="24"/>
          <w:szCs w:val="24"/>
        </w:rPr>
        <w:t>Mangaldan</w:t>
      </w:r>
      <w:proofErr w:type="spellEnd"/>
      <w:r w:rsidRPr="00077EE5">
        <w:rPr>
          <w:rFonts w:ascii="Times New Roman" w:eastAsia="Batang" w:hAnsi="Times New Roman" w:cs="Times New Roman"/>
          <w:color w:val="000000" w:themeColor="text1"/>
          <w:sz w:val="24"/>
          <w:szCs w:val="24"/>
        </w:rPr>
        <w:t xml:space="preserve"> with a housing backlog</w:t>
      </w:r>
      <w:r>
        <w:rPr>
          <w:rFonts w:ascii="Times New Roman" w:eastAsia="Batang" w:hAnsi="Times New Roman" w:cs="Times New Roman"/>
          <w:color w:val="000000" w:themeColor="text1"/>
          <w:sz w:val="24"/>
          <w:szCs w:val="24"/>
        </w:rPr>
        <w:t xml:space="preserve"> of 3,208 units</w:t>
      </w:r>
      <w:r w:rsidRPr="00077EE5">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and a demand of 3,438 units</w:t>
      </w:r>
      <w:r w:rsidRPr="00077EE5">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 xml:space="preserve">by population growth, </w:t>
      </w:r>
      <w:proofErr w:type="spellStart"/>
      <w:r w:rsidRPr="00077EE5">
        <w:rPr>
          <w:rFonts w:ascii="Times New Roman" w:eastAsia="Batang" w:hAnsi="Times New Roman" w:cs="Times New Roman"/>
          <w:color w:val="000000" w:themeColor="text1"/>
          <w:sz w:val="24"/>
          <w:szCs w:val="24"/>
        </w:rPr>
        <w:t>Mangaldan</w:t>
      </w:r>
      <w:proofErr w:type="spellEnd"/>
      <w:r w:rsidRPr="00077EE5">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 xml:space="preserve">is </w:t>
      </w:r>
      <w:r w:rsidRPr="00077EE5">
        <w:rPr>
          <w:rFonts w:ascii="Times New Roman" w:eastAsia="Batang" w:hAnsi="Times New Roman" w:cs="Times New Roman"/>
          <w:color w:val="000000" w:themeColor="text1"/>
          <w:sz w:val="24"/>
          <w:szCs w:val="24"/>
        </w:rPr>
        <w:t xml:space="preserve">beset </w:t>
      </w:r>
      <w:r>
        <w:rPr>
          <w:rFonts w:ascii="Times New Roman" w:eastAsia="Batang" w:hAnsi="Times New Roman" w:cs="Times New Roman"/>
          <w:color w:val="000000" w:themeColor="text1"/>
          <w:sz w:val="24"/>
          <w:szCs w:val="24"/>
        </w:rPr>
        <w:t xml:space="preserve">with housing problems </w:t>
      </w:r>
      <w:r w:rsidRPr="00077EE5">
        <w:rPr>
          <w:rFonts w:ascii="Times New Roman" w:eastAsia="Batang" w:hAnsi="Times New Roman" w:cs="Times New Roman"/>
          <w:color w:val="000000" w:themeColor="text1"/>
          <w:sz w:val="24"/>
          <w:szCs w:val="24"/>
        </w:rPr>
        <w:t>in providing for land security and housing for the poor.  In the face of high rates of population increase and urban</w:t>
      </w:r>
      <w:r>
        <w:rPr>
          <w:rFonts w:ascii="Times New Roman" w:eastAsia="Batang" w:hAnsi="Times New Roman" w:cs="Times New Roman"/>
          <w:color w:val="000000" w:themeColor="text1"/>
          <w:sz w:val="24"/>
          <w:szCs w:val="24"/>
        </w:rPr>
        <w:t>ization which continues</w:t>
      </w:r>
      <w:r w:rsidRPr="00077EE5">
        <w:rPr>
          <w:rFonts w:ascii="Times New Roman" w:eastAsia="Batang" w:hAnsi="Times New Roman" w:cs="Times New Roman"/>
          <w:color w:val="000000" w:themeColor="text1"/>
          <w:sz w:val="24"/>
          <w:szCs w:val="24"/>
        </w:rPr>
        <w:t xml:space="preserve"> to draw hope for economic opportunities, the demand for affordable land and housing remains a huge challenge.  </w:t>
      </w:r>
    </w:p>
    <w:p w:rsidR="00321504" w:rsidRPr="00077EE5" w:rsidRDefault="00321504" w:rsidP="00321504">
      <w:pPr>
        <w:spacing w:line="360" w:lineRule="auto"/>
        <w:ind w:left="1440"/>
        <w:jc w:val="both"/>
        <w:rPr>
          <w:rFonts w:ascii="Times New Roman" w:eastAsia="Batang" w:hAnsi="Times New Roman" w:cs="Times New Roman"/>
          <w:color w:val="000000" w:themeColor="text1"/>
          <w:sz w:val="24"/>
          <w:szCs w:val="24"/>
        </w:rPr>
      </w:pPr>
      <w:r w:rsidRPr="00077EE5">
        <w:rPr>
          <w:rFonts w:ascii="Times New Roman" w:eastAsia="Batang" w:hAnsi="Times New Roman" w:cs="Times New Roman"/>
          <w:color w:val="000000" w:themeColor="text1"/>
          <w:sz w:val="24"/>
          <w:szCs w:val="24"/>
        </w:rPr>
        <w:t>The rise of informal settlers along the PNR Railway as well as by the increasing number of f</w:t>
      </w:r>
      <w:r>
        <w:rPr>
          <w:rFonts w:ascii="Times New Roman" w:eastAsia="Batang" w:hAnsi="Times New Roman" w:cs="Times New Roman"/>
          <w:color w:val="000000" w:themeColor="text1"/>
          <w:sz w:val="24"/>
          <w:szCs w:val="24"/>
        </w:rPr>
        <w:t>amilies sharing dwelling units</w:t>
      </w:r>
      <w:r w:rsidRPr="00077EE5">
        <w:rPr>
          <w:rFonts w:ascii="Times New Roman" w:eastAsia="Batang" w:hAnsi="Times New Roman" w:cs="Times New Roman"/>
          <w:color w:val="000000" w:themeColor="text1"/>
          <w:sz w:val="24"/>
          <w:szCs w:val="24"/>
        </w:rPr>
        <w:t xml:space="preserve"> further aggravates the deteriorating quality of life of the poor as cramped spaces result in higher incidence of sickness and violence that mostly affects women and children</w:t>
      </w:r>
      <w:r>
        <w:rPr>
          <w:rFonts w:ascii="Times New Roman" w:eastAsia="Batang" w:hAnsi="Times New Roman" w:cs="Times New Roman"/>
          <w:color w:val="000000" w:themeColor="text1"/>
          <w:sz w:val="24"/>
          <w:szCs w:val="24"/>
        </w:rPr>
        <w:t>.</w:t>
      </w:r>
    </w:p>
    <w:p w:rsidR="00321504" w:rsidRPr="00C570D4" w:rsidRDefault="00321504" w:rsidP="00321504">
      <w:pPr>
        <w:spacing w:line="360" w:lineRule="auto"/>
        <w:ind w:left="1440"/>
        <w:jc w:val="both"/>
        <w:rPr>
          <w:rFonts w:ascii="Times New Roman" w:eastAsia="Batang" w:hAnsi="Times New Roman" w:cs="Times New Roman"/>
          <w:color w:val="000000" w:themeColor="text1"/>
          <w:sz w:val="24"/>
          <w:szCs w:val="24"/>
        </w:rPr>
      </w:pPr>
      <w:r w:rsidRPr="00077EE5">
        <w:rPr>
          <w:rFonts w:ascii="Times New Roman" w:eastAsia="Batang" w:hAnsi="Times New Roman" w:cs="Times New Roman"/>
          <w:color w:val="000000" w:themeColor="text1"/>
          <w:sz w:val="24"/>
          <w:szCs w:val="24"/>
        </w:rPr>
        <w:t>The high transaction costs due to the confusing and unclear land use policies; non-cooperation of land owners to engage in the Community Mortgage Program (CMP); and misinterpretation and/or non-implementation of the local shelter plan as provided for under the Urban Development and Housing Act (UDHA) and its imp</w:t>
      </w:r>
      <w:r>
        <w:rPr>
          <w:rFonts w:ascii="Times New Roman" w:eastAsia="Batang" w:hAnsi="Times New Roman" w:cs="Times New Roman"/>
          <w:color w:val="000000" w:themeColor="text1"/>
          <w:sz w:val="24"/>
          <w:szCs w:val="24"/>
        </w:rPr>
        <w:t xml:space="preserve">lementing rules and regulations also pose great challenge to the preparation of the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 xml:space="preserve"> Local Shelter Plan.</w:t>
      </w:r>
      <w:r w:rsidRPr="00077EE5">
        <w:rPr>
          <w:rFonts w:ascii="Times New Roman" w:eastAsia="Batang" w:hAnsi="Times New Roman" w:cs="Times New Roman"/>
          <w:color w:val="000000" w:themeColor="text1"/>
          <w:sz w:val="24"/>
          <w:szCs w:val="24"/>
        </w:rPr>
        <w:t xml:space="preserve"> </w:t>
      </w:r>
    </w:p>
    <w:p w:rsidR="00321504" w:rsidRDefault="00321504" w:rsidP="00321504">
      <w:pPr>
        <w:spacing w:after="0" w:line="240" w:lineRule="auto"/>
        <w:ind w:firstLine="720"/>
        <w:contextualSpacing/>
        <w:jc w:val="center"/>
        <w:rPr>
          <w:rFonts w:ascii="Times New Roman" w:eastAsia="Batang" w:hAnsi="Times New Roman" w:cs="Times New Roman"/>
          <w:b/>
          <w:color w:val="000000" w:themeColor="text1"/>
          <w:sz w:val="24"/>
          <w:szCs w:val="24"/>
        </w:rPr>
      </w:pPr>
    </w:p>
    <w:p w:rsidR="00321504" w:rsidRDefault="00321504" w:rsidP="00321504">
      <w:pPr>
        <w:spacing w:after="0" w:line="240" w:lineRule="auto"/>
        <w:ind w:firstLine="720"/>
        <w:contextualSpacing/>
        <w:jc w:val="center"/>
        <w:rPr>
          <w:rFonts w:ascii="Times New Roman" w:eastAsia="Batang" w:hAnsi="Times New Roman" w:cs="Times New Roman"/>
          <w:b/>
          <w:color w:val="000000" w:themeColor="text1"/>
          <w:sz w:val="24"/>
          <w:szCs w:val="24"/>
        </w:rPr>
      </w:pPr>
    </w:p>
    <w:p w:rsidR="00321504" w:rsidRDefault="00321504" w:rsidP="00321504">
      <w:pPr>
        <w:spacing w:after="0" w:line="240" w:lineRule="auto"/>
        <w:ind w:firstLine="720"/>
        <w:contextualSpacing/>
        <w:jc w:val="center"/>
        <w:rPr>
          <w:rFonts w:ascii="Times New Roman" w:eastAsia="Batang" w:hAnsi="Times New Roman" w:cs="Times New Roman"/>
          <w:b/>
          <w:color w:val="000000" w:themeColor="text1"/>
          <w:sz w:val="24"/>
          <w:szCs w:val="24"/>
        </w:rPr>
      </w:pPr>
    </w:p>
    <w:p w:rsidR="00321504" w:rsidRDefault="00321504" w:rsidP="00321504">
      <w:pPr>
        <w:spacing w:after="0" w:line="240" w:lineRule="auto"/>
        <w:ind w:firstLine="720"/>
        <w:contextualSpacing/>
        <w:jc w:val="center"/>
        <w:rPr>
          <w:rFonts w:ascii="Times New Roman" w:eastAsia="Batang" w:hAnsi="Times New Roman" w:cs="Times New Roman"/>
          <w:b/>
          <w:color w:val="000000" w:themeColor="text1"/>
          <w:sz w:val="24"/>
          <w:szCs w:val="24"/>
        </w:rPr>
      </w:pPr>
    </w:p>
    <w:p w:rsidR="00321504" w:rsidRDefault="00321504" w:rsidP="00321504">
      <w:pPr>
        <w:spacing w:after="0" w:line="240" w:lineRule="auto"/>
        <w:ind w:firstLine="720"/>
        <w:contextualSpacing/>
        <w:jc w:val="center"/>
        <w:rPr>
          <w:rFonts w:ascii="Times New Roman" w:eastAsia="Batang" w:hAnsi="Times New Roman" w:cs="Times New Roman"/>
          <w:b/>
          <w:color w:val="000000" w:themeColor="text1"/>
          <w:sz w:val="24"/>
          <w:szCs w:val="24"/>
        </w:rPr>
      </w:pPr>
    </w:p>
    <w:p w:rsidR="00321504" w:rsidRPr="007D040E" w:rsidRDefault="00321504" w:rsidP="00321504">
      <w:pPr>
        <w:spacing w:after="0" w:line="240" w:lineRule="auto"/>
        <w:ind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Table 5</w:t>
      </w:r>
      <w:r w:rsidRPr="007D040E">
        <w:rPr>
          <w:rFonts w:ascii="Times New Roman" w:eastAsia="Batang" w:hAnsi="Times New Roman" w:cs="Times New Roman"/>
          <w:b/>
          <w:color w:val="000000" w:themeColor="text1"/>
          <w:sz w:val="24"/>
          <w:szCs w:val="24"/>
        </w:rPr>
        <w:t>2:</w:t>
      </w:r>
      <w:r>
        <w:rPr>
          <w:rFonts w:ascii="Times New Roman" w:eastAsia="Batang" w:hAnsi="Times New Roman" w:cs="Times New Roman"/>
          <w:b/>
          <w:color w:val="000000" w:themeColor="text1"/>
          <w:sz w:val="24"/>
          <w:szCs w:val="24"/>
        </w:rPr>
        <w:t xml:space="preserve"> </w:t>
      </w:r>
      <w:r w:rsidRPr="007D040E">
        <w:rPr>
          <w:rFonts w:ascii="Times New Roman" w:eastAsia="Batang" w:hAnsi="Times New Roman" w:cs="Times New Roman"/>
          <w:b/>
          <w:color w:val="000000" w:themeColor="text1"/>
          <w:sz w:val="24"/>
          <w:szCs w:val="24"/>
        </w:rPr>
        <w:t>H</w:t>
      </w:r>
      <w:r>
        <w:rPr>
          <w:rFonts w:ascii="Times New Roman" w:eastAsia="Batang" w:hAnsi="Times New Roman" w:cs="Times New Roman"/>
          <w:b/>
          <w:color w:val="000000" w:themeColor="text1"/>
          <w:sz w:val="24"/>
          <w:szCs w:val="24"/>
        </w:rPr>
        <w:t>ousing</w:t>
      </w:r>
      <w:r w:rsidRPr="007D040E">
        <w:rPr>
          <w:rFonts w:ascii="Times New Roman" w:eastAsia="Batang" w:hAnsi="Times New Roman" w:cs="Times New Roman"/>
          <w:b/>
          <w:color w:val="000000" w:themeColor="text1"/>
          <w:sz w:val="24"/>
          <w:szCs w:val="24"/>
        </w:rPr>
        <w:t xml:space="preserve"> Sector Matrix Analysis</w:t>
      </w:r>
    </w:p>
    <w:tbl>
      <w:tblPr>
        <w:tblStyle w:val="TableGrid1"/>
        <w:tblpPr w:leftFromText="180" w:rightFromText="180" w:vertAnchor="text" w:horzAnchor="margin" w:tblpXSpec="right" w:tblpY="121"/>
        <w:tblW w:w="8625" w:type="dxa"/>
        <w:tblLook w:val="04A0" w:firstRow="1" w:lastRow="0" w:firstColumn="1" w:lastColumn="0" w:noHBand="0" w:noVBand="1"/>
      </w:tblPr>
      <w:tblGrid>
        <w:gridCol w:w="3198"/>
        <w:gridCol w:w="2653"/>
        <w:gridCol w:w="2774"/>
      </w:tblGrid>
      <w:tr w:rsidR="00321504" w:rsidRPr="007D040E" w:rsidTr="00B66822">
        <w:trPr>
          <w:trHeight w:val="20"/>
        </w:trPr>
        <w:tc>
          <w:tcPr>
            <w:tcW w:w="3198" w:type="dxa"/>
          </w:tcPr>
          <w:p w:rsidR="00321504" w:rsidRPr="007D040E"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Problems/ Issues/ Concerns</w:t>
            </w:r>
          </w:p>
        </w:tc>
        <w:tc>
          <w:tcPr>
            <w:tcW w:w="2653" w:type="dxa"/>
          </w:tcPr>
          <w:p w:rsidR="00321504" w:rsidRPr="007D040E"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Recommendations</w:t>
            </w:r>
          </w:p>
        </w:tc>
        <w:tc>
          <w:tcPr>
            <w:tcW w:w="2774" w:type="dxa"/>
          </w:tcPr>
          <w:p w:rsidR="00321504" w:rsidRPr="007D040E" w:rsidRDefault="00321504" w:rsidP="00B66822">
            <w:pPr>
              <w:spacing w:after="0" w:line="240" w:lineRule="auto"/>
              <w:contextualSpacing/>
              <w:jc w:val="center"/>
              <w:rPr>
                <w:rFonts w:ascii="Times New Roman" w:eastAsia="Batang" w:hAnsi="Times New Roman" w:cs="Times New Roman"/>
                <w:b/>
                <w:color w:val="000000" w:themeColor="text1"/>
                <w:sz w:val="24"/>
                <w:szCs w:val="24"/>
              </w:rPr>
            </w:pPr>
            <w:r w:rsidRPr="007D040E">
              <w:rPr>
                <w:rFonts w:ascii="Times New Roman" w:eastAsia="Batang" w:hAnsi="Times New Roman" w:cs="Times New Roman"/>
                <w:b/>
                <w:color w:val="000000" w:themeColor="text1"/>
                <w:sz w:val="24"/>
                <w:szCs w:val="24"/>
              </w:rPr>
              <w:t xml:space="preserve">Policies/ Strategies </w:t>
            </w:r>
          </w:p>
        </w:tc>
      </w:tr>
      <w:tr w:rsidR="00321504" w:rsidRPr="007D040E" w:rsidTr="00B66822">
        <w:trPr>
          <w:trHeight w:val="20"/>
        </w:trPr>
        <w:tc>
          <w:tcPr>
            <w:tcW w:w="3198" w:type="dxa"/>
          </w:tcPr>
          <w:p w:rsidR="00321504" w:rsidRPr="007D040E" w:rsidRDefault="00321504" w:rsidP="00321504">
            <w:pPr>
              <w:pStyle w:val="ListParagraph"/>
              <w:numPr>
                <w:ilvl w:val="0"/>
                <w:numId w:val="29"/>
              </w:numPr>
              <w:spacing w:after="0" w:line="240" w:lineRule="auto"/>
              <w:ind w:left="303"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No LGU initiated low cost housing project</w:t>
            </w:r>
          </w:p>
        </w:tc>
        <w:tc>
          <w:tcPr>
            <w:tcW w:w="2653" w:type="dxa"/>
          </w:tcPr>
          <w:p w:rsidR="00321504" w:rsidRPr="00DD33C5" w:rsidRDefault="00321504" w:rsidP="00321504">
            <w:pPr>
              <w:pStyle w:val="ListParagraph"/>
              <w:numPr>
                <w:ilvl w:val="0"/>
                <w:numId w:val="46"/>
              </w:numPr>
              <w:spacing w:after="0" w:line="240" w:lineRule="auto"/>
              <w:ind w:left="222" w:hanging="222"/>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Scout for possible sites for purchase by the government</w:t>
            </w:r>
          </w:p>
        </w:tc>
        <w:tc>
          <w:tcPr>
            <w:tcW w:w="2774" w:type="dxa"/>
          </w:tcPr>
          <w:p w:rsidR="00321504" w:rsidRPr="00DD33C5" w:rsidRDefault="00321504" w:rsidP="00321504">
            <w:pPr>
              <w:pStyle w:val="ListParagraph"/>
              <w:numPr>
                <w:ilvl w:val="0"/>
                <w:numId w:val="47"/>
              </w:numPr>
              <w:spacing w:after="0" w:line="240" w:lineRule="auto"/>
              <w:ind w:left="179" w:hanging="179"/>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Establish a system to periodically monitor encroachment on public properties</w:t>
            </w:r>
          </w:p>
        </w:tc>
      </w:tr>
      <w:tr w:rsidR="00321504" w:rsidRPr="007D040E" w:rsidTr="00B66822">
        <w:trPr>
          <w:trHeight w:val="20"/>
        </w:trPr>
        <w:tc>
          <w:tcPr>
            <w:tcW w:w="3198" w:type="dxa"/>
          </w:tcPr>
          <w:p w:rsidR="00321504" w:rsidRPr="007D040E" w:rsidRDefault="00321504" w:rsidP="00321504">
            <w:pPr>
              <w:pStyle w:val="ListParagraph"/>
              <w:numPr>
                <w:ilvl w:val="0"/>
                <w:numId w:val="29"/>
              </w:numPr>
              <w:spacing w:after="0" w:line="240" w:lineRule="auto"/>
              <w:ind w:left="303"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No government owned lot for socialized housing</w:t>
            </w:r>
          </w:p>
          <w:p w:rsidR="00321504" w:rsidRPr="007D040E" w:rsidRDefault="00321504" w:rsidP="00321504">
            <w:pPr>
              <w:pStyle w:val="ListParagraph"/>
              <w:numPr>
                <w:ilvl w:val="0"/>
                <w:numId w:val="11"/>
              </w:numPr>
              <w:spacing w:after="0" w:line="240" w:lineRule="auto"/>
              <w:ind w:left="540"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Socialized housing (30 sq. meter)</w:t>
            </w:r>
          </w:p>
          <w:p w:rsidR="00321504" w:rsidRPr="007D040E" w:rsidRDefault="00321504" w:rsidP="00321504">
            <w:pPr>
              <w:pStyle w:val="ListParagraph"/>
              <w:numPr>
                <w:ilvl w:val="0"/>
                <w:numId w:val="11"/>
              </w:numPr>
              <w:spacing w:after="0" w:line="240" w:lineRule="auto"/>
              <w:ind w:left="540"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Economic housing (100 meter up)</w:t>
            </w:r>
          </w:p>
        </w:tc>
        <w:tc>
          <w:tcPr>
            <w:tcW w:w="2653" w:type="dxa"/>
          </w:tcPr>
          <w:p w:rsidR="00321504" w:rsidRPr="00DD33C5" w:rsidRDefault="00321504" w:rsidP="00321504">
            <w:pPr>
              <w:pStyle w:val="ListParagraph"/>
              <w:numPr>
                <w:ilvl w:val="0"/>
                <w:numId w:val="46"/>
              </w:numPr>
              <w:spacing w:after="0" w:line="240" w:lineRule="auto"/>
              <w:ind w:left="222" w:hanging="222"/>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Coordinate with NGOs and government housing agencies for possible low cost housing projects.</w:t>
            </w:r>
          </w:p>
        </w:tc>
        <w:tc>
          <w:tcPr>
            <w:tcW w:w="2774" w:type="dxa"/>
          </w:tcPr>
          <w:p w:rsidR="00321504" w:rsidRPr="00DD33C5" w:rsidRDefault="00321504" w:rsidP="00321504">
            <w:pPr>
              <w:pStyle w:val="ListParagraph"/>
              <w:numPr>
                <w:ilvl w:val="0"/>
                <w:numId w:val="47"/>
              </w:numPr>
              <w:spacing w:after="0" w:line="240" w:lineRule="auto"/>
              <w:ind w:left="179" w:hanging="179"/>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To strictly implement laws on legal easement</w:t>
            </w:r>
          </w:p>
          <w:p w:rsidR="00321504" w:rsidRPr="007D040E" w:rsidRDefault="00321504" w:rsidP="00B66822">
            <w:pPr>
              <w:spacing w:after="0" w:line="240" w:lineRule="auto"/>
              <w:ind w:left="179" w:hanging="179"/>
              <w:contextualSpacing/>
              <w:rPr>
                <w:rFonts w:ascii="Times New Roman" w:eastAsia="Batang" w:hAnsi="Times New Roman" w:cs="Times New Roman"/>
                <w:color w:val="000000" w:themeColor="text1"/>
                <w:sz w:val="24"/>
                <w:szCs w:val="24"/>
              </w:rPr>
            </w:pPr>
          </w:p>
          <w:p w:rsidR="00321504" w:rsidRPr="00DD33C5" w:rsidRDefault="00321504" w:rsidP="00321504">
            <w:pPr>
              <w:pStyle w:val="ListParagraph"/>
              <w:numPr>
                <w:ilvl w:val="0"/>
                <w:numId w:val="47"/>
              </w:numPr>
              <w:spacing w:after="0" w:line="240" w:lineRule="auto"/>
              <w:ind w:left="179" w:hanging="179"/>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No built zone on highly identified dangerous zone</w:t>
            </w:r>
          </w:p>
        </w:tc>
      </w:tr>
      <w:tr w:rsidR="00321504" w:rsidRPr="007D040E" w:rsidTr="00B66822">
        <w:trPr>
          <w:trHeight w:val="20"/>
        </w:trPr>
        <w:tc>
          <w:tcPr>
            <w:tcW w:w="3198" w:type="dxa"/>
            <w:vAlign w:val="center"/>
          </w:tcPr>
          <w:p w:rsidR="00321504" w:rsidRPr="007D040E" w:rsidRDefault="00321504" w:rsidP="00321504">
            <w:pPr>
              <w:pStyle w:val="ListParagraph"/>
              <w:numPr>
                <w:ilvl w:val="0"/>
                <w:numId w:val="29"/>
              </w:numPr>
              <w:spacing w:after="0" w:line="240" w:lineRule="auto"/>
              <w:ind w:left="303"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The town of</w:t>
            </w:r>
            <w:r>
              <w:rPr>
                <w:rFonts w:ascii="Times New Roman" w:eastAsia="Batang" w:hAnsi="Times New Roman" w:cs="Times New Roman"/>
                <w:color w:val="000000" w:themeColor="text1"/>
                <w:sz w:val="24"/>
                <w:szCs w:val="24"/>
              </w:rPr>
              <w:t xml:space="preserve"> </w:t>
            </w:r>
            <w:proofErr w:type="spellStart"/>
            <w:r w:rsidRPr="007D040E">
              <w:rPr>
                <w:rFonts w:ascii="Times New Roman" w:eastAsia="Batang" w:hAnsi="Times New Roman" w:cs="Times New Roman"/>
                <w:color w:val="000000" w:themeColor="text1"/>
                <w:sz w:val="24"/>
                <w:szCs w:val="24"/>
              </w:rPr>
              <w:t>Mangaldan</w:t>
            </w:r>
            <w:proofErr w:type="spellEnd"/>
            <w:r w:rsidRPr="007D040E">
              <w:rPr>
                <w:rFonts w:ascii="Times New Roman" w:eastAsia="Batang" w:hAnsi="Times New Roman" w:cs="Times New Roman"/>
                <w:color w:val="000000" w:themeColor="text1"/>
                <w:sz w:val="24"/>
                <w:szCs w:val="24"/>
              </w:rPr>
              <w:t xml:space="preserve"> flood area</w:t>
            </w:r>
          </w:p>
        </w:tc>
        <w:tc>
          <w:tcPr>
            <w:tcW w:w="2653" w:type="dxa"/>
          </w:tcPr>
          <w:p w:rsidR="00321504" w:rsidRPr="00DD33C5" w:rsidRDefault="00321504" w:rsidP="00321504">
            <w:pPr>
              <w:pStyle w:val="ListParagraph"/>
              <w:numPr>
                <w:ilvl w:val="0"/>
                <w:numId w:val="45"/>
              </w:numPr>
              <w:spacing w:after="0" w:line="240" w:lineRule="auto"/>
              <w:ind w:left="222" w:hanging="222"/>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Construction of Drainage Canals</w:t>
            </w:r>
          </w:p>
          <w:p w:rsidR="00321504" w:rsidRPr="00DD33C5" w:rsidRDefault="00321504" w:rsidP="00321504">
            <w:pPr>
              <w:pStyle w:val="ListParagraph"/>
              <w:numPr>
                <w:ilvl w:val="0"/>
                <w:numId w:val="45"/>
              </w:numPr>
              <w:spacing w:after="0" w:line="240" w:lineRule="auto"/>
              <w:ind w:left="222" w:hanging="222"/>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Dredging of Rivers</w:t>
            </w:r>
          </w:p>
          <w:p w:rsidR="00321504" w:rsidRPr="00DD33C5" w:rsidRDefault="00321504" w:rsidP="00321504">
            <w:pPr>
              <w:pStyle w:val="ListParagraph"/>
              <w:numPr>
                <w:ilvl w:val="0"/>
                <w:numId w:val="45"/>
              </w:numPr>
              <w:spacing w:after="0" w:line="240" w:lineRule="auto"/>
              <w:ind w:left="222" w:hanging="222"/>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Provision of 2</w:t>
            </w:r>
            <w:r w:rsidRPr="00DD33C5">
              <w:rPr>
                <w:rFonts w:ascii="Times New Roman" w:eastAsia="Batang" w:hAnsi="Times New Roman" w:cs="Times New Roman"/>
                <w:color w:val="000000" w:themeColor="text1"/>
                <w:sz w:val="24"/>
                <w:szCs w:val="24"/>
                <w:vertAlign w:val="superscript"/>
              </w:rPr>
              <w:t>nd</w:t>
            </w:r>
            <w:r w:rsidRPr="00DD33C5">
              <w:rPr>
                <w:rFonts w:ascii="Times New Roman" w:eastAsia="Batang" w:hAnsi="Times New Roman" w:cs="Times New Roman"/>
                <w:color w:val="000000" w:themeColor="text1"/>
                <w:sz w:val="24"/>
                <w:szCs w:val="24"/>
              </w:rPr>
              <w:t xml:space="preserve"> Floor in the construction of houses</w:t>
            </w:r>
          </w:p>
        </w:tc>
        <w:tc>
          <w:tcPr>
            <w:tcW w:w="2774" w:type="dxa"/>
          </w:tcPr>
          <w:p w:rsidR="00321504" w:rsidRPr="00DD33C5" w:rsidRDefault="00321504" w:rsidP="00321504">
            <w:pPr>
              <w:pStyle w:val="ListParagraph"/>
              <w:numPr>
                <w:ilvl w:val="0"/>
                <w:numId w:val="47"/>
              </w:numPr>
              <w:spacing w:after="0" w:line="240" w:lineRule="auto"/>
              <w:ind w:left="179" w:hanging="179"/>
              <w:rPr>
                <w:rFonts w:ascii="Times New Roman" w:eastAsia="Batang" w:hAnsi="Times New Roman" w:cs="Times New Roman"/>
                <w:color w:val="000000" w:themeColor="text1"/>
                <w:sz w:val="24"/>
                <w:szCs w:val="24"/>
              </w:rPr>
            </w:pPr>
            <w:r w:rsidRPr="00DD33C5">
              <w:rPr>
                <w:rFonts w:ascii="Times New Roman" w:eastAsia="Batang" w:hAnsi="Times New Roman" w:cs="Times New Roman"/>
                <w:color w:val="000000" w:themeColor="text1"/>
                <w:sz w:val="24"/>
                <w:szCs w:val="24"/>
              </w:rPr>
              <w:t>Pass an ordinance setting an elevated design for newly constructed residential &amp; commercial buildings</w:t>
            </w:r>
          </w:p>
        </w:tc>
      </w:tr>
      <w:tr w:rsidR="00321504" w:rsidRPr="007D040E" w:rsidTr="00B66822">
        <w:trPr>
          <w:trHeight w:val="20"/>
        </w:trPr>
        <w:tc>
          <w:tcPr>
            <w:tcW w:w="3198" w:type="dxa"/>
          </w:tcPr>
          <w:p w:rsidR="00321504" w:rsidRPr="007D040E" w:rsidRDefault="00321504" w:rsidP="00321504">
            <w:pPr>
              <w:pStyle w:val="ListParagraph"/>
              <w:numPr>
                <w:ilvl w:val="0"/>
                <w:numId w:val="29"/>
              </w:numPr>
              <w:spacing w:after="0" w:line="240" w:lineRule="auto"/>
              <w:ind w:left="303"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Presence of informal settlers on riverbank (</w:t>
            </w:r>
            <w:proofErr w:type="spellStart"/>
            <w:r w:rsidRPr="007D040E">
              <w:rPr>
                <w:rFonts w:ascii="Times New Roman" w:eastAsia="Batang" w:hAnsi="Times New Roman" w:cs="Times New Roman"/>
                <w:color w:val="000000" w:themeColor="text1"/>
                <w:sz w:val="24"/>
                <w:szCs w:val="24"/>
              </w:rPr>
              <w:t>Anolid</w:t>
            </w:r>
            <w:proofErr w:type="spellEnd"/>
            <w:r w:rsidRPr="007D040E">
              <w:rPr>
                <w:rFonts w:ascii="Times New Roman" w:eastAsia="Batang" w:hAnsi="Times New Roman" w:cs="Times New Roman"/>
                <w:color w:val="000000" w:themeColor="text1"/>
                <w:sz w:val="24"/>
                <w:szCs w:val="24"/>
              </w:rPr>
              <w:t>)</w:t>
            </w:r>
          </w:p>
        </w:tc>
        <w:tc>
          <w:tcPr>
            <w:tcW w:w="2653" w:type="dxa"/>
          </w:tcPr>
          <w:p w:rsidR="00321504" w:rsidRPr="0008760D" w:rsidRDefault="00321504" w:rsidP="00321504">
            <w:pPr>
              <w:pStyle w:val="ListParagraph"/>
              <w:numPr>
                <w:ilvl w:val="0"/>
                <w:numId w:val="47"/>
              </w:numPr>
              <w:spacing w:after="0" w:line="240" w:lineRule="auto"/>
              <w:ind w:left="222" w:hanging="222"/>
              <w:rPr>
                <w:rFonts w:ascii="Times New Roman" w:eastAsia="Batang" w:hAnsi="Times New Roman" w:cs="Times New Roman"/>
                <w:color w:val="000000" w:themeColor="text1"/>
                <w:sz w:val="24"/>
                <w:szCs w:val="24"/>
              </w:rPr>
            </w:pPr>
            <w:r w:rsidRPr="0008760D">
              <w:rPr>
                <w:rFonts w:ascii="Times New Roman" w:eastAsia="Batang" w:hAnsi="Times New Roman" w:cs="Times New Roman"/>
                <w:color w:val="000000" w:themeColor="text1"/>
                <w:sz w:val="24"/>
                <w:szCs w:val="24"/>
              </w:rPr>
              <w:t>S</w:t>
            </w:r>
            <w:r>
              <w:rPr>
                <w:rFonts w:ascii="Times New Roman" w:eastAsia="Batang" w:hAnsi="Times New Roman" w:cs="Times New Roman"/>
                <w:color w:val="000000" w:themeColor="text1"/>
                <w:sz w:val="24"/>
                <w:szCs w:val="24"/>
              </w:rPr>
              <w:t>cout</w:t>
            </w:r>
            <w:r w:rsidRPr="0008760D">
              <w:rPr>
                <w:rFonts w:ascii="Times New Roman" w:eastAsia="Batang" w:hAnsi="Times New Roman" w:cs="Times New Roman"/>
                <w:color w:val="000000" w:themeColor="text1"/>
                <w:sz w:val="24"/>
                <w:szCs w:val="24"/>
              </w:rPr>
              <w:t xml:space="preserve"> for sites for relocations areas</w:t>
            </w:r>
          </w:p>
        </w:tc>
        <w:tc>
          <w:tcPr>
            <w:tcW w:w="2774" w:type="dxa"/>
            <w:vMerge w:val="restart"/>
            <w:vAlign w:val="center"/>
          </w:tcPr>
          <w:p w:rsidR="00321504" w:rsidRPr="0008760D" w:rsidRDefault="00321504" w:rsidP="00321504">
            <w:pPr>
              <w:pStyle w:val="ListParagraph"/>
              <w:numPr>
                <w:ilvl w:val="0"/>
                <w:numId w:val="47"/>
              </w:numPr>
              <w:spacing w:after="0" w:line="240" w:lineRule="auto"/>
              <w:ind w:left="179" w:hanging="17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Identify suitable sites for mass housing projects and encourage private sector involvement.</w:t>
            </w:r>
          </w:p>
        </w:tc>
      </w:tr>
      <w:tr w:rsidR="00321504" w:rsidRPr="007D040E" w:rsidTr="00B66822">
        <w:trPr>
          <w:trHeight w:val="20"/>
        </w:trPr>
        <w:tc>
          <w:tcPr>
            <w:tcW w:w="3198" w:type="dxa"/>
          </w:tcPr>
          <w:p w:rsidR="00321504" w:rsidRPr="007D040E" w:rsidRDefault="00321504" w:rsidP="00321504">
            <w:pPr>
              <w:pStyle w:val="ListParagraph"/>
              <w:numPr>
                <w:ilvl w:val="0"/>
                <w:numId w:val="29"/>
              </w:numPr>
              <w:spacing w:after="0" w:line="240" w:lineRule="auto"/>
              <w:ind w:left="303" w:hanging="270"/>
              <w:rPr>
                <w:rFonts w:ascii="Times New Roman" w:eastAsia="Batang" w:hAnsi="Times New Roman" w:cs="Times New Roman"/>
                <w:color w:val="000000" w:themeColor="text1"/>
                <w:sz w:val="24"/>
                <w:szCs w:val="24"/>
              </w:rPr>
            </w:pPr>
            <w:r w:rsidRPr="007D040E">
              <w:rPr>
                <w:rFonts w:ascii="Times New Roman" w:eastAsia="Batang" w:hAnsi="Times New Roman" w:cs="Times New Roman"/>
                <w:color w:val="000000" w:themeColor="text1"/>
                <w:sz w:val="24"/>
                <w:szCs w:val="24"/>
              </w:rPr>
              <w:t>Presence of informal settlers on railways tracks (</w:t>
            </w:r>
            <w:proofErr w:type="spellStart"/>
            <w:r w:rsidRPr="007D040E">
              <w:rPr>
                <w:rFonts w:ascii="Times New Roman" w:eastAsia="Batang" w:hAnsi="Times New Roman" w:cs="Times New Roman"/>
                <w:color w:val="000000" w:themeColor="text1"/>
                <w:sz w:val="24"/>
                <w:szCs w:val="24"/>
              </w:rPr>
              <w:t>Maasin</w:t>
            </w:r>
            <w:proofErr w:type="spellEnd"/>
            <w:r w:rsidRPr="007D040E">
              <w:rPr>
                <w:rFonts w:ascii="Times New Roman" w:eastAsia="Batang" w:hAnsi="Times New Roman" w:cs="Times New Roman"/>
                <w:color w:val="000000" w:themeColor="text1"/>
                <w:sz w:val="24"/>
                <w:szCs w:val="24"/>
              </w:rPr>
              <w:t xml:space="preserve">, </w:t>
            </w:r>
            <w:proofErr w:type="spellStart"/>
            <w:r w:rsidRPr="007D040E">
              <w:rPr>
                <w:rFonts w:ascii="Times New Roman" w:eastAsia="Batang" w:hAnsi="Times New Roman" w:cs="Times New Roman"/>
                <w:color w:val="000000" w:themeColor="text1"/>
                <w:sz w:val="24"/>
                <w:szCs w:val="24"/>
              </w:rPr>
              <w:t>Guilig</w:t>
            </w:r>
            <w:proofErr w:type="spellEnd"/>
            <w:r w:rsidRPr="007D040E">
              <w:rPr>
                <w:rFonts w:ascii="Times New Roman" w:eastAsia="Batang" w:hAnsi="Times New Roman" w:cs="Times New Roman"/>
                <w:color w:val="000000" w:themeColor="text1"/>
                <w:sz w:val="24"/>
                <w:szCs w:val="24"/>
              </w:rPr>
              <w:t xml:space="preserve">, </w:t>
            </w:r>
            <w:proofErr w:type="spellStart"/>
            <w:r w:rsidRPr="007D040E">
              <w:rPr>
                <w:rFonts w:ascii="Times New Roman" w:eastAsia="Batang" w:hAnsi="Times New Roman" w:cs="Times New Roman"/>
                <w:color w:val="000000" w:themeColor="text1"/>
                <w:sz w:val="24"/>
                <w:szCs w:val="24"/>
              </w:rPr>
              <w:t>Salay</w:t>
            </w:r>
            <w:proofErr w:type="spellEnd"/>
            <w:r w:rsidRPr="007D040E">
              <w:rPr>
                <w:rFonts w:ascii="Times New Roman" w:eastAsia="Batang" w:hAnsi="Times New Roman" w:cs="Times New Roman"/>
                <w:color w:val="000000" w:themeColor="text1"/>
                <w:sz w:val="24"/>
                <w:szCs w:val="24"/>
              </w:rPr>
              <w:t xml:space="preserve">, </w:t>
            </w:r>
            <w:proofErr w:type="spellStart"/>
            <w:r w:rsidRPr="007D040E">
              <w:rPr>
                <w:rFonts w:ascii="Times New Roman" w:eastAsia="Batang" w:hAnsi="Times New Roman" w:cs="Times New Roman"/>
                <w:color w:val="000000" w:themeColor="text1"/>
                <w:sz w:val="24"/>
                <w:szCs w:val="24"/>
              </w:rPr>
              <w:t>Salaan</w:t>
            </w:r>
            <w:proofErr w:type="spellEnd"/>
            <w:r w:rsidRPr="007D040E">
              <w:rPr>
                <w:rFonts w:ascii="Times New Roman" w:eastAsia="Batang" w:hAnsi="Times New Roman" w:cs="Times New Roman"/>
                <w:color w:val="000000" w:themeColor="text1"/>
                <w:sz w:val="24"/>
                <w:szCs w:val="24"/>
              </w:rPr>
              <w:t>)</w:t>
            </w:r>
          </w:p>
        </w:tc>
        <w:tc>
          <w:tcPr>
            <w:tcW w:w="2653" w:type="dxa"/>
          </w:tcPr>
          <w:p w:rsidR="00321504" w:rsidRPr="0008760D" w:rsidRDefault="00321504" w:rsidP="00321504">
            <w:pPr>
              <w:pStyle w:val="ListParagraph"/>
              <w:numPr>
                <w:ilvl w:val="0"/>
                <w:numId w:val="47"/>
              </w:numPr>
              <w:spacing w:after="0" w:line="240" w:lineRule="auto"/>
              <w:ind w:left="222" w:hanging="222"/>
              <w:rPr>
                <w:rFonts w:ascii="Times New Roman" w:eastAsia="Batang" w:hAnsi="Times New Roman" w:cs="Times New Roman"/>
                <w:color w:val="000000" w:themeColor="text1"/>
                <w:sz w:val="24"/>
                <w:szCs w:val="24"/>
              </w:rPr>
            </w:pPr>
            <w:r w:rsidRPr="0008760D">
              <w:rPr>
                <w:rFonts w:ascii="Times New Roman" w:eastAsia="Batang" w:hAnsi="Times New Roman" w:cs="Times New Roman"/>
                <w:color w:val="000000" w:themeColor="text1"/>
                <w:sz w:val="24"/>
                <w:szCs w:val="24"/>
              </w:rPr>
              <w:t>S</w:t>
            </w:r>
            <w:r>
              <w:rPr>
                <w:rFonts w:ascii="Times New Roman" w:eastAsia="Batang" w:hAnsi="Times New Roman" w:cs="Times New Roman"/>
                <w:color w:val="000000" w:themeColor="text1"/>
                <w:sz w:val="24"/>
                <w:szCs w:val="24"/>
              </w:rPr>
              <w:t>cout</w:t>
            </w:r>
            <w:r w:rsidRPr="0008760D">
              <w:rPr>
                <w:rFonts w:ascii="Times New Roman" w:eastAsia="Batang" w:hAnsi="Times New Roman" w:cs="Times New Roman"/>
                <w:color w:val="000000" w:themeColor="text1"/>
                <w:sz w:val="24"/>
                <w:szCs w:val="24"/>
              </w:rPr>
              <w:t xml:space="preserve"> for sites for relocations areas</w:t>
            </w:r>
          </w:p>
        </w:tc>
        <w:tc>
          <w:tcPr>
            <w:tcW w:w="2774" w:type="dxa"/>
            <w:vMerge/>
          </w:tcPr>
          <w:p w:rsidR="00321504" w:rsidRPr="007D040E" w:rsidRDefault="00321504" w:rsidP="00B66822">
            <w:pPr>
              <w:spacing w:after="0" w:line="240" w:lineRule="auto"/>
              <w:contextualSpacing/>
              <w:rPr>
                <w:rFonts w:ascii="Times New Roman" w:eastAsia="Batang" w:hAnsi="Times New Roman" w:cs="Times New Roman"/>
                <w:color w:val="000000" w:themeColor="text1"/>
                <w:sz w:val="24"/>
                <w:szCs w:val="24"/>
              </w:rPr>
            </w:pPr>
          </w:p>
        </w:tc>
      </w:tr>
    </w:tbl>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after="0" w:line="240" w:lineRule="auto"/>
        <w:ind w:left="1440"/>
        <w:contextualSpacing/>
        <w:jc w:val="both"/>
        <w:rPr>
          <w:rFonts w:ascii="Times New Roman" w:eastAsia="Batang" w:hAnsi="Times New Roman" w:cs="Times New Roman"/>
          <w:color w:val="000000" w:themeColor="text1"/>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p>
    <w:p w:rsidR="00321504" w:rsidRDefault="00321504" w:rsidP="00321504">
      <w:pPr>
        <w:spacing w:line="360" w:lineRule="auto"/>
        <w:ind w:left="1440"/>
        <w:jc w:val="both"/>
        <w:rPr>
          <w:rFonts w:ascii="Times New Roman" w:eastAsia="Batang" w:hAnsi="Times New Roman" w:cs="Times New Roman"/>
          <w:color w:val="000000" w:themeColor="text1"/>
          <w:sz w:val="24"/>
          <w:szCs w:val="24"/>
        </w:rPr>
      </w:pPr>
    </w:p>
    <w:p w:rsidR="00321504" w:rsidRPr="00DA52F2" w:rsidRDefault="00321504" w:rsidP="00321504">
      <w:pPr>
        <w:spacing w:line="360" w:lineRule="auto"/>
        <w:ind w:left="1440"/>
        <w:jc w:val="both"/>
        <w:rPr>
          <w:rFonts w:ascii="Times New Roman" w:eastAsia="Batang" w:hAnsi="Times New Roman" w:cs="Times New Roman"/>
          <w:b/>
          <w:color w:val="000000" w:themeColor="text1"/>
          <w:sz w:val="24"/>
          <w:szCs w:val="24"/>
        </w:rPr>
      </w:pPr>
    </w:p>
    <w:p w:rsidR="00321504" w:rsidRPr="007D040E" w:rsidRDefault="00321504" w:rsidP="00321504">
      <w:pPr>
        <w:spacing w:after="200"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The provision and access to adequate housing is a catalyst for development and remains one of the primary requirements towards sustainable livelihoods.  Adequate shelter forms the foundation of basic needs in addition to food, health, education and jobs.  The primary </w:t>
      </w:r>
      <w:proofErr w:type="gramStart"/>
      <w:r w:rsidRPr="007D040E">
        <w:rPr>
          <w:rFonts w:ascii="Times New Roman" w:eastAsia="Batang" w:hAnsi="Times New Roman" w:cs="Times New Roman"/>
          <w:sz w:val="24"/>
          <w:szCs w:val="24"/>
        </w:rPr>
        <w:t>concerns of security of an average person is</w:t>
      </w:r>
      <w:proofErr w:type="gramEnd"/>
      <w:r w:rsidRPr="007D040E">
        <w:rPr>
          <w:rFonts w:ascii="Times New Roman" w:eastAsia="Batang" w:hAnsi="Times New Roman" w:cs="Times New Roman"/>
          <w:sz w:val="24"/>
          <w:szCs w:val="24"/>
        </w:rPr>
        <w:t xml:space="preserve"> housing.  Thus, existence of slums should be seen as a manifestation of hardships and limitations to livelihoods when a house is not a home.</w:t>
      </w:r>
    </w:p>
    <w:p w:rsidR="004637FB" w:rsidRDefault="004637FB">
      <w:pPr>
        <w:spacing w:after="200" w:line="276" w:lineRule="auto"/>
        <w:rPr>
          <w:rFonts w:ascii="Times New Roman" w:eastAsia="Batang" w:hAnsi="Times New Roman" w:cs="Times New Roman"/>
          <w:b/>
          <w:sz w:val="24"/>
          <w:szCs w:val="24"/>
        </w:rPr>
      </w:pPr>
    </w:p>
    <w:sectPr w:rsidR="004637FB" w:rsidSect="004919D7">
      <w:headerReference w:type="default" r:id="rId10"/>
      <w:footerReference w:type="default" r:id="rId11"/>
      <w:headerReference w:type="first" r:id="rId12"/>
      <w:footerReference w:type="first" r:id="rId13"/>
      <w:pgSz w:w="12240" w:h="18720"/>
      <w:pgMar w:top="1440" w:right="1440" w:bottom="1440" w:left="1440" w:header="720" w:footer="0" w:gutter="0"/>
      <w:pgNumType w:start="5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D06" w:rsidRDefault="00AB4D06" w:rsidP="005E15F7">
      <w:pPr>
        <w:spacing w:after="0" w:line="240" w:lineRule="auto"/>
      </w:pPr>
      <w:r>
        <w:separator/>
      </w:r>
    </w:p>
  </w:endnote>
  <w:endnote w:type="continuationSeparator" w:id="0">
    <w:p w:rsidR="00AB4D06" w:rsidRDefault="00AB4D06"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436BBF" w:rsidRPr="006E63C9" w:rsidTr="006E63C9">
      <w:trPr>
        <w:trHeight w:hRule="exact" w:val="1137"/>
      </w:trPr>
      <w:tc>
        <w:tcPr>
          <w:tcW w:w="11" w:type="pct"/>
          <w:shd w:val="clear" w:color="auto" w:fill="D60093"/>
          <w:vAlign w:val="center"/>
        </w:tcPr>
        <w:p w:rsidR="00436BBF" w:rsidRPr="006E63C9" w:rsidRDefault="00436BBF" w:rsidP="00B66822">
          <w:pPr>
            <w:pStyle w:val="Footer"/>
            <w:tabs>
              <w:tab w:val="clear" w:pos="4680"/>
              <w:tab w:val="clear" w:pos="9360"/>
            </w:tabs>
            <w:spacing w:before="40" w:after="40"/>
            <w:rPr>
              <w:color w:val="002060"/>
            </w:rPr>
          </w:pPr>
        </w:p>
      </w:tc>
      <w:tc>
        <w:tcPr>
          <w:tcW w:w="4534" w:type="pct"/>
          <w:shd w:val="clear" w:color="auto" w:fill="FFFF00"/>
          <w:vAlign w:val="center"/>
        </w:tcPr>
        <w:p w:rsidR="00436BBF" w:rsidRPr="006E63C9" w:rsidRDefault="00436BBF" w:rsidP="00B66822">
          <w:pPr>
            <w:pStyle w:val="Footer"/>
            <w:tabs>
              <w:tab w:val="clear" w:pos="4680"/>
              <w:tab w:val="clear" w:pos="9360"/>
            </w:tabs>
            <w:spacing w:before="40" w:after="40"/>
            <w:ind w:left="144" w:right="144"/>
            <w:rPr>
              <w:rFonts w:ascii="Brush Script MT" w:hAnsi="Brush Script MT"/>
              <w:b/>
              <w:color w:val="002060"/>
              <w:sz w:val="2"/>
              <w:szCs w:val="28"/>
            </w:rPr>
          </w:pPr>
          <w:r w:rsidRPr="006E63C9">
            <w:rPr>
              <w:noProof/>
              <w:color w:val="002060"/>
              <w:lang w:val="en-PH" w:eastAsia="en-PH"/>
            </w:rPr>
            <w:drawing>
              <wp:anchor distT="0" distB="0" distL="114300" distR="114300" simplePos="0" relativeHeight="251660288" behindDoc="0" locked="0" layoutInCell="1" allowOverlap="1" wp14:anchorId="7B5F0ECA" wp14:editId="08C74DE0">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436BBF" w:rsidRPr="006E63C9" w:rsidRDefault="00436BBF" w:rsidP="00B66822">
          <w:pPr>
            <w:pStyle w:val="Footer"/>
            <w:tabs>
              <w:tab w:val="clear" w:pos="4680"/>
              <w:tab w:val="clear" w:pos="9360"/>
            </w:tabs>
            <w:spacing w:before="40" w:after="40"/>
            <w:ind w:right="144" w:hanging="449"/>
            <w:rPr>
              <w:rFonts w:ascii="Brush Script MT" w:hAnsi="Brush Script MT"/>
              <w:b/>
              <w:color w:val="002060"/>
              <w:sz w:val="12"/>
              <w:szCs w:val="28"/>
            </w:rPr>
          </w:pPr>
        </w:p>
        <w:p w:rsidR="00436BBF" w:rsidRPr="006E63C9" w:rsidRDefault="00436BBF" w:rsidP="00B66822">
          <w:pPr>
            <w:pStyle w:val="Footer"/>
            <w:tabs>
              <w:tab w:val="clear" w:pos="4680"/>
              <w:tab w:val="clear" w:pos="9360"/>
            </w:tabs>
            <w:spacing w:before="40" w:after="40"/>
            <w:ind w:right="144" w:hanging="449"/>
            <w:rPr>
              <w:b/>
              <w:color w:val="002060"/>
              <w:sz w:val="28"/>
              <w:szCs w:val="28"/>
            </w:rPr>
          </w:pPr>
          <w:r w:rsidRPr="006E63C9">
            <w:rPr>
              <w:rFonts w:ascii="Brush Script MT" w:hAnsi="Brush Script MT"/>
              <w:b/>
              <w:color w:val="002060"/>
              <w:sz w:val="36"/>
              <w:szCs w:val="28"/>
            </w:rPr>
            <w:t xml:space="preserve">Ma           </w:t>
          </w:r>
          <w:proofErr w:type="spellStart"/>
          <w:r w:rsidRPr="006E63C9">
            <w:rPr>
              <w:rFonts w:ascii="Brush Script MT" w:hAnsi="Brush Script MT"/>
              <w:b/>
              <w:color w:val="002060"/>
              <w:sz w:val="36"/>
              <w:szCs w:val="28"/>
            </w:rPr>
            <w:t>Mangaldan</w:t>
          </w:r>
          <w:proofErr w:type="spellEnd"/>
          <w:r w:rsidRPr="006E63C9">
            <w:rPr>
              <w:rFonts w:ascii="Brush Script MT" w:hAnsi="Brush Script MT"/>
              <w:b/>
              <w:color w:val="002060"/>
              <w:sz w:val="36"/>
              <w:szCs w:val="28"/>
            </w:rPr>
            <w:t xml:space="preserve">, </w:t>
          </w:r>
          <w:proofErr w:type="spellStart"/>
          <w:r w:rsidRPr="006E63C9">
            <w:rPr>
              <w:rFonts w:ascii="Brush Script MT" w:hAnsi="Brush Script MT"/>
              <w:b/>
              <w:color w:val="002060"/>
              <w:sz w:val="36"/>
              <w:szCs w:val="28"/>
            </w:rPr>
            <w:t>Pangasinan</w:t>
          </w:r>
          <w:proofErr w:type="spellEnd"/>
          <w:r w:rsidRPr="006E63C9">
            <w:rPr>
              <w:rFonts w:ascii="Brush Script MT" w:hAnsi="Brush Script MT"/>
              <w:b/>
              <w:color w:val="002060"/>
              <w:sz w:val="36"/>
              <w:szCs w:val="28"/>
            </w:rPr>
            <w:t xml:space="preserve">   </w:t>
          </w:r>
          <w:r w:rsidRPr="006E63C9">
            <w:rPr>
              <w:rFonts w:ascii="Berlin Sans FB Demi" w:hAnsi="Berlin Sans FB Demi"/>
              <w:b/>
              <w:color w:val="002060"/>
              <w:sz w:val="28"/>
              <w:szCs w:val="28"/>
            </w:rPr>
            <w:t>VOLUME 2: SECTORAL STUDIES</w:t>
          </w:r>
        </w:p>
      </w:tc>
      <w:tc>
        <w:tcPr>
          <w:tcW w:w="455" w:type="pct"/>
          <w:shd w:val="clear" w:color="auto" w:fill="002060"/>
          <w:vAlign w:val="center"/>
        </w:tcPr>
        <w:p w:rsidR="00436BBF" w:rsidRPr="006E63C9" w:rsidRDefault="00436BBF" w:rsidP="00B66822">
          <w:pPr>
            <w:pStyle w:val="Footer"/>
            <w:tabs>
              <w:tab w:val="clear" w:pos="4680"/>
              <w:tab w:val="clear" w:pos="9360"/>
            </w:tabs>
            <w:spacing w:before="40" w:after="40"/>
            <w:jc w:val="center"/>
            <w:rPr>
              <w:rFonts w:ascii="Berlin Sans FB Demi" w:hAnsi="Berlin Sans FB Demi"/>
              <w:color w:val="002060"/>
              <w:sz w:val="28"/>
              <w:szCs w:val="28"/>
            </w:rPr>
          </w:pPr>
          <w:r w:rsidRPr="006E63C9">
            <w:rPr>
              <w:rFonts w:ascii="Berlin Sans FB Demi" w:hAnsi="Berlin Sans FB Demi"/>
              <w:color w:val="FFFFFF" w:themeColor="background1"/>
              <w:sz w:val="28"/>
              <w:szCs w:val="28"/>
            </w:rPr>
            <w:fldChar w:fldCharType="begin"/>
          </w:r>
          <w:r w:rsidRPr="006E63C9">
            <w:rPr>
              <w:rFonts w:ascii="Berlin Sans FB Demi" w:hAnsi="Berlin Sans FB Demi"/>
              <w:color w:val="FFFFFF" w:themeColor="background1"/>
              <w:sz w:val="28"/>
              <w:szCs w:val="28"/>
            </w:rPr>
            <w:instrText xml:space="preserve"> PAGE   \* MERGEFORMAT </w:instrText>
          </w:r>
          <w:r w:rsidRPr="006E63C9">
            <w:rPr>
              <w:rFonts w:ascii="Berlin Sans FB Demi" w:hAnsi="Berlin Sans FB Demi"/>
              <w:color w:val="FFFFFF" w:themeColor="background1"/>
              <w:sz w:val="28"/>
              <w:szCs w:val="28"/>
            </w:rPr>
            <w:fldChar w:fldCharType="separate"/>
          </w:r>
          <w:r w:rsidR="00262A25">
            <w:rPr>
              <w:rFonts w:ascii="Berlin Sans FB Demi" w:hAnsi="Berlin Sans FB Demi"/>
              <w:noProof/>
              <w:color w:val="FFFFFF" w:themeColor="background1"/>
              <w:sz w:val="28"/>
              <w:szCs w:val="28"/>
            </w:rPr>
            <w:t>53</w:t>
          </w:r>
          <w:r w:rsidRPr="006E63C9">
            <w:rPr>
              <w:rFonts w:ascii="Berlin Sans FB Demi" w:hAnsi="Berlin Sans FB Demi"/>
              <w:noProof/>
              <w:color w:val="FFFFFF" w:themeColor="background1"/>
              <w:sz w:val="28"/>
              <w:szCs w:val="28"/>
            </w:rPr>
            <w:fldChar w:fldCharType="end"/>
          </w:r>
        </w:p>
      </w:tc>
    </w:tr>
  </w:tbl>
  <w:p w:rsidR="00436BBF" w:rsidRPr="006E63C9" w:rsidRDefault="00436BBF" w:rsidP="004919D7">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436BBF" w:rsidRPr="006E63C9" w:rsidTr="006E63C9">
      <w:trPr>
        <w:trHeight w:hRule="exact" w:val="1137"/>
      </w:trPr>
      <w:tc>
        <w:tcPr>
          <w:tcW w:w="11" w:type="pct"/>
          <w:shd w:val="clear" w:color="auto" w:fill="D60093"/>
          <w:vAlign w:val="center"/>
        </w:tcPr>
        <w:p w:rsidR="00436BBF" w:rsidRPr="006E63C9" w:rsidRDefault="00436BBF" w:rsidP="00B66822">
          <w:pPr>
            <w:pStyle w:val="Footer"/>
            <w:tabs>
              <w:tab w:val="clear" w:pos="4680"/>
              <w:tab w:val="clear" w:pos="9360"/>
            </w:tabs>
            <w:spacing w:before="40" w:after="40"/>
            <w:rPr>
              <w:color w:val="002060"/>
            </w:rPr>
          </w:pPr>
        </w:p>
      </w:tc>
      <w:tc>
        <w:tcPr>
          <w:tcW w:w="4534" w:type="pct"/>
          <w:shd w:val="clear" w:color="auto" w:fill="FFFF00"/>
          <w:vAlign w:val="center"/>
        </w:tcPr>
        <w:p w:rsidR="00436BBF" w:rsidRPr="006E63C9" w:rsidRDefault="00436BBF" w:rsidP="00B66822">
          <w:pPr>
            <w:pStyle w:val="Footer"/>
            <w:tabs>
              <w:tab w:val="clear" w:pos="4680"/>
              <w:tab w:val="clear" w:pos="9360"/>
            </w:tabs>
            <w:spacing w:before="40" w:after="40"/>
            <w:ind w:left="144" w:right="144"/>
            <w:rPr>
              <w:rFonts w:ascii="Brush Script MT" w:hAnsi="Brush Script MT"/>
              <w:b/>
              <w:color w:val="002060"/>
              <w:sz w:val="2"/>
              <w:szCs w:val="28"/>
            </w:rPr>
          </w:pPr>
          <w:r w:rsidRPr="006E63C9">
            <w:rPr>
              <w:noProof/>
              <w:color w:val="002060"/>
              <w:lang w:val="en-PH" w:eastAsia="en-PH"/>
            </w:rPr>
            <w:drawing>
              <wp:anchor distT="0" distB="0" distL="114300" distR="114300" simplePos="0" relativeHeight="251658240" behindDoc="0" locked="0" layoutInCell="1" allowOverlap="1" wp14:anchorId="4C41DB2F" wp14:editId="15827E1B">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436BBF" w:rsidRPr="006E63C9" w:rsidRDefault="00436BBF" w:rsidP="00B66822">
          <w:pPr>
            <w:pStyle w:val="Footer"/>
            <w:tabs>
              <w:tab w:val="clear" w:pos="4680"/>
              <w:tab w:val="clear" w:pos="9360"/>
            </w:tabs>
            <w:spacing w:before="40" w:after="40"/>
            <w:ind w:right="144" w:hanging="449"/>
            <w:rPr>
              <w:rFonts w:ascii="Brush Script MT" w:hAnsi="Brush Script MT"/>
              <w:b/>
              <w:color w:val="002060"/>
              <w:sz w:val="12"/>
              <w:szCs w:val="28"/>
            </w:rPr>
          </w:pPr>
        </w:p>
        <w:p w:rsidR="00436BBF" w:rsidRPr="006E63C9" w:rsidRDefault="00436BBF" w:rsidP="00B66822">
          <w:pPr>
            <w:pStyle w:val="Footer"/>
            <w:tabs>
              <w:tab w:val="clear" w:pos="4680"/>
              <w:tab w:val="clear" w:pos="9360"/>
            </w:tabs>
            <w:spacing w:before="40" w:after="40"/>
            <w:ind w:right="144" w:hanging="449"/>
            <w:rPr>
              <w:b/>
              <w:color w:val="002060"/>
              <w:sz w:val="28"/>
              <w:szCs w:val="28"/>
            </w:rPr>
          </w:pPr>
          <w:r w:rsidRPr="006E63C9">
            <w:rPr>
              <w:rFonts w:ascii="Brush Script MT" w:hAnsi="Brush Script MT"/>
              <w:b/>
              <w:color w:val="002060"/>
              <w:sz w:val="36"/>
              <w:szCs w:val="28"/>
            </w:rPr>
            <w:t xml:space="preserve">Ma           </w:t>
          </w:r>
          <w:proofErr w:type="spellStart"/>
          <w:r w:rsidRPr="006E63C9">
            <w:rPr>
              <w:rFonts w:ascii="Brush Script MT" w:hAnsi="Brush Script MT"/>
              <w:b/>
              <w:color w:val="002060"/>
              <w:sz w:val="36"/>
              <w:szCs w:val="28"/>
            </w:rPr>
            <w:t>Mangaldan</w:t>
          </w:r>
          <w:proofErr w:type="spellEnd"/>
          <w:r w:rsidRPr="006E63C9">
            <w:rPr>
              <w:rFonts w:ascii="Brush Script MT" w:hAnsi="Brush Script MT"/>
              <w:b/>
              <w:color w:val="002060"/>
              <w:sz w:val="36"/>
              <w:szCs w:val="28"/>
            </w:rPr>
            <w:t xml:space="preserve">, </w:t>
          </w:r>
          <w:proofErr w:type="spellStart"/>
          <w:r w:rsidRPr="006E63C9">
            <w:rPr>
              <w:rFonts w:ascii="Brush Script MT" w:hAnsi="Brush Script MT"/>
              <w:b/>
              <w:color w:val="002060"/>
              <w:sz w:val="36"/>
              <w:szCs w:val="28"/>
            </w:rPr>
            <w:t>Pangasinan</w:t>
          </w:r>
          <w:proofErr w:type="spellEnd"/>
          <w:r w:rsidRPr="006E63C9">
            <w:rPr>
              <w:rFonts w:ascii="Brush Script MT" w:hAnsi="Brush Script MT"/>
              <w:b/>
              <w:color w:val="002060"/>
              <w:sz w:val="36"/>
              <w:szCs w:val="28"/>
            </w:rPr>
            <w:t xml:space="preserve">   </w:t>
          </w:r>
          <w:r w:rsidRPr="006E63C9">
            <w:rPr>
              <w:rFonts w:ascii="Berlin Sans FB Demi" w:hAnsi="Berlin Sans FB Demi"/>
              <w:b/>
              <w:color w:val="002060"/>
              <w:sz w:val="28"/>
              <w:szCs w:val="28"/>
            </w:rPr>
            <w:t>VOLUME 2: SECTORAL STUDIES</w:t>
          </w:r>
        </w:p>
      </w:tc>
      <w:tc>
        <w:tcPr>
          <w:tcW w:w="455" w:type="pct"/>
          <w:shd w:val="clear" w:color="auto" w:fill="002060"/>
          <w:vAlign w:val="center"/>
        </w:tcPr>
        <w:p w:rsidR="00436BBF" w:rsidRPr="006E63C9" w:rsidRDefault="00436BBF" w:rsidP="00B66822">
          <w:pPr>
            <w:pStyle w:val="Footer"/>
            <w:tabs>
              <w:tab w:val="clear" w:pos="4680"/>
              <w:tab w:val="clear" w:pos="9360"/>
            </w:tabs>
            <w:spacing w:before="40" w:after="40"/>
            <w:jc w:val="center"/>
            <w:rPr>
              <w:rFonts w:ascii="Berlin Sans FB Demi" w:hAnsi="Berlin Sans FB Demi"/>
              <w:color w:val="002060"/>
              <w:sz w:val="28"/>
              <w:szCs w:val="28"/>
            </w:rPr>
          </w:pPr>
          <w:r w:rsidRPr="006E63C9">
            <w:rPr>
              <w:rFonts w:ascii="Berlin Sans FB Demi" w:hAnsi="Berlin Sans FB Demi"/>
              <w:color w:val="FFFFFF" w:themeColor="background1"/>
              <w:sz w:val="28"/>
              <w:szCs w:val="28"/>
            </w:rPr>
            <w:fldChar w:fldCharType="begin"/>
          </w:r>
          <w:r w:rsidRPr="006E63C9">
            <w:rPr>
              <w:rFonts w:ascii="Berlin Sans FB Demi" w:hAnsi="Berlin Sans FB Demi"/>
              <w:color w:val="FFFFFF" w:themeColor="background1"/>
              <w:sz w:val="28"/>
              <w:szCs w:val="28"/>
            </w:rPr>
            <w:instrText xml:space="preserve"> PAGE   \* MERGEFORMAT </w:instrText>
          </w:r>
          <w:r w:rsidRPr="006E63C9">
            <w:rPr>
              <w:rFonts w:ascii="Berlin Sans FB Demi" w:hAnsi="Berlin Sans FB Demi"/>
              <w:color w:val="FFFFFF" w:themeColor="background1"/>
              <w:sz w:val="28"/>
              <w:szCs w:val="28"/>
            </w:rPr>
            <w:fldChar w:fldCharType="separate"/>
          </w:r>
          <w:r w:rsidR="00262A25">
            <w:rPr>
              <w:rFonts w:ascii="Berlin Sans FB Demi" w:hAnsi="Berlin Sans FB Demi"/>
              <w:noProof/>
              <w:color w:val="FFFFFF" w:themeColor="background1"/>
              <w:sz w:val="28"/>
              <w:szCs w:val="28"/>
            </w:rPr>
            <w:t>52</w:t>
          </w:r>
          <w:r w:rsidRPr="006E63C9">
            <w:rPr>
              <w:rFonts w:ascii="Berlin Sans FB Demi" w:hAnsi="Berlin Sans FB Demi"/>
              <w:noProof/>
              <w:color w:val="FFFFFF" w:themeColor="background1"/>
              <w:sz w:val="28"/>
              <w:szCs w:val="28"/>
            </w:rPr>
            <w:fldChar w:fldCharType="end"/>
          </w:r>
        </w:p>
      </w:tc>
    </w:tr>
  </w:tbl>
  <w:p w:rsidR="00436BBF" w:rsidRPr="006E63C9" w:rsidRDefault="00436BBF" w:rsidP="004919D7">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D06" w:rsidRDefault="00AB4D06" w:rsidP="005E15F7">
      <w:pPr>
        <w:spacing w:after="0" w:line="240" w:lineRule="auto"/>
      </w:pPr>
      <w:r>
        <w:separator/>
      </w:r>
    </w:p>
  </w:footnote>
  <w:footnote w:type="continuationSeparator" w:id="0">
    <w:p w:rsidR="00AB4D06" w:rsidRDefault="00AB4D06"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BBF" w:rsidRDefault="00436BBF">
    <w:pPr>
      <w:pStyle w:val="Header"/>
    </w:pPr>
    <w:r>
      <w:rPr>
        <w:noProof/>
        <w:lang w:val="en-PH" w:eastAsia="en-PH"/>
      </w:rPr>
      <mc:AlternateContent>
        <mc:Choice Requires="wps">
          <w:drawing>
            <wp:anchor distT="0" distB="0" distL="114300" distR="114300" simplePos="0" relativeHeight="251664384" behindDoc="0" locked="0" layoutInCell="1" allowOverlap="1">
              <wp:simplePos x="0" y="0"/>
              <wp:positionH relativeFrom="page">
                <wp:posOffset>6556375</wp:posOffset>
              </wp:positionH>
              <wp:positionV relativeFrom="page">
                <wp:posOffset>143510</wp:posOffset>
              </wp:positionV>
              <wp:extent cx="997585" cy="76771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85" cy="767715"/>
                      </a:xfrm>
                      <a:prstGeom prst="rect">
                        <a:avLst/>
                      </a:prstGeom>
                      <a:solidFill>
                        <a:srgbClr val="002060"/>
                      </a:solidFill>
                      <a:ln>
                        <a:noFill/>
                      </a:ln>
                      <a:extLst/>
                    </wps:spPr>
                    <wps:txbx>
                      <w:txbxContent>
                        <w:p w:rsidR="00436BBF" w:rsidRPr="004919D7" w:rsidRDefault="00436BBF" w:rsidP="006C2EFA">
                          <w:pPr>
                            <w:spacing w:after="0" w:line="240" w:lineRule="auto"/>
                            <w:contextualSpacing/>
                            <w:jc w:val="center"/>
                            <w:rPr>
                              <w:rFonts w:ascii="Copperplate Gothic Light" w:hAnsi="Copperplate Gothic Light"/>
                              <w:b/>
                              <w:color w:val="FFFF00"/>
                              <w:sz w:val="10"/>
                              <w:szCs w:val="72"/>
                            </w:rPr>
                          </w:pPr>
                        </w:p>
                        <w:p w:rsidR="00436BBF" w:rsidRPr="004919D7" w:rsidRDefault="00436BBF" w:rsidP="006C2EFA">
                          <w:pPr>
                            <w:spacing w:after="0" w:line="240" w:lineRule="auto"/>
                            <w:contextualSpacing/>
                            <w:jc w:val="center"/>
                            <w:rPr>
                              <w:rFonts w:ascii="Copperplate Gothic Light" w:hAnsi="Copperplate Gothic Light"/>
                              <w:b/>
                              <w:color w:val="FFFF00"/>
                              <w:sz w:val="72"/>
                              <w:szCs w:val="72"/>
                            </w:rPr>
                          </w:pPr>
                          <w:r>
                            <w:rPr>
                              <w:rFonts w:ascii="Copperplate Gothic Light" w:hAnsi="Copperplate Gothic Light"/>
                              <w:b/>
                              <w:color w:val="FFFF00"/>
                              <w:sz w:val="72"/>
                              <w:szCs w:val="72"/>
                            </w:rPr>
                            <w:t>H</w:t>
                          </w:r>
                          <w:r w:rsidRPr="004919D7">
                            <w:rPr>
                              <w:rFonts w:ascii="Copperplate Gothic Light" w:hAnsi="Copperplate Gothic Light"/>
                              <w:b/>
                              <w:color w:val="FFFF00"/>
                              <w:sz w:val="72"/>
                              <w:szCs w:val="72"/>
                            </w:rPr>
                            <w:t>O</w:t>
                          </w:r>
                        </w:p>
                        <w:p w:rsidR="00436BBF" w:rsidRPr="004919D7" w:rsidRDefault="00436BBF" w:rsidP="006C2EFA">
                          <w:pPr>
                            <w:spacing w:after="0" w:line="240" w:lineRule="auto"/>
                            <w:contextualSpacing/>
                            <w:rPr>
                              <w:rFonts w:ascii="Copperplate Gothic Light" w:hAnsi="Copperplate Gothic Light"/>
                              <w:sz w:val="72"/>
                              <w:szCs w:val="7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16.25pt;margin-top:11.3pt;width:78.55pt;height:60.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" fillcolor="#002060" stroked="f">
              <v:textbox>
                <w:txbxContent>
                  <w:p w:rsidR="00436BBF" w:rsidRPr="004919D7" w:rsidRDefault="00436BBF" w:rsidP="006C2EFA">
                    <w:pPr>
                      <w:spacing w:after="0" w:line="240" w:lineRule="auto"/>
                      <w:contextualSpacing/>
                      <w:jc w:val="center"/>
                      <w:rPr>
                        <w:rFonts w:ascii="Copperplate Gothic Light" w:hAnsi="Copperplate Gothic Light"/>
                        <w:b/>
                        <w:color w:val="FFFF00"/>
                        <w:sz w:val="10"/>
                        <w:szCs w:val="72"/>
                      </w:rPr>
                    </w:pPr>
                  </w:p>
                  <w:p w:rsidR="00436BBF" w:rsidRPr="004919D7" w:rsidRDefault="00436BBF" w:rsidP="006C2EFA">
                    <w:pPr>
                      <w:spacing w:after="0" w:line="240" w:lineRule="auto"/>
                      <w:contextualSpacing/>
                      <w:jc w:val="center"/>
                      <w:rPr>
                        <w:rFonts w:ascii="Copperplate Gothic Light" w:hAnsi="Copperplate Gothic Light"/>
                        <w:b/>
                        <w:color w:val="FFFF00"/>
                        <w:sz w:val="72"/>
                        <w:szCs w:val="72"/>
                      </w:rPr>
                    </w:pPr>
                    <w:r>
                      <w:rPr>
                        <w:rFonts w:ascii="Copperplate Gothic Light" w:hAnsi="Copperplate Gothic Light"/>
                        <w:b/>
                        <w:color w:val="FFFF00"/>
                        <w:sz w:val="72"/>
                        <w:szCs w:val="72"/>
                      </w:rPr>
                      <w:t>H</w:t>
                    </w:r>
                    <w:r w:rsidRPr="004919D7">
                      <w:rPr>
                        <w:rFonts w:ascii="Copperplate Gothic Light" w:hAnsi="Copperplate Gothic Light"/>
                        <w:b/>
                        <w:color w:val="FFFF00"/>
                        <w:sz w:val="72"/>
                        <w:szCs w:val="72"/>
                      </w:rPr>
                      <w:t>O</w:t>
                    </w:r>
                  </w:p>
                  <w:p w:rsidR="00436BBF" w:rsidRPr="004919D7" w:rsidRDefault="00436BBF" w:rsidP="006C2EFA">
                    <w:pPr>
                      <w:spacing w:after="0" w:line="240" w:lineRule="auto"/>
                      <w:contextualSpacing/>
                      <w:rPr>
                        <w:rFonts w:ascii="Copperplate Gothic Light" w:hAnsi="Copperplate Gothic Light"/>
                        <w:sz w:val="72"/>
                        <w:szCs w:val="72"/>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BBF" w:rsidRDefault="00FC21BF" w:rsidP="00436BBF">
    <w:pPr>
      <w:pStyle w:val="Header"/>
    </w:pPr>
    <w:r>
      <w:rPr>
        <w:noProof/>
        <w:lang w:val="en-PH" w:eastAsia="en-PH"/>
      </w:rPr>
      <mc:AlternateContent>
        <mc:Choice Requires="wps">
          <w:drawing>
            <wp:anchor distT="0" distB="0" distL="114300" distR="114300" simplePos="0" relativeHeight="251666432" behindDoc="0" locked="0" layoutInCell="1" allowOverlap="1" wp14:anchorId="6CBF65E9" wp14:editId="05B58FDD">
              <wp:simplePos x="0" y="0"/>
              <wp:positionH relativeFrom="page">
                <wp:posOffset>6708775</wp:posOffset>
              </wp:positionH>
              <wp:positionV relativeFrom="page">
                <wp:posOffset>192393</wp:posOffset>
              </wp:positionV>
              <wp:extent cx="997585" cy="767715"/>
              <wp:effectExtent l="0" t="0" r="0" b="0"/>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85" cy="767715"/>
                      </a:xfrm>
                      <a:prstGeom prst="rect">
                        <a:avLst/>
                      </a:prstGeom>
                      <a:solidFill>
                        <a:srgbClr val="002060"/>
                      </a:solidFill>
                      <a:ln>
                        <a:noFill/>
                      </a:ln>
                      <a:extLst/>
                    </wps:spPr>
                    <wps:txbx>
                      <w:txbxContent>
                        <w:p w:rsidR="00FC21BF" w:rsidRPr="004919D7" w:rsidRDefault="00FC21BF" w:rsidP="00FC21BF">
                          <w:pPr>
                            <w:spacing w:after="0" w:line="240" w:lineRule="auto"/>
                            <w:contextualSpacing/>
                            <w:jc w:val="center"/>
                            <w:rPr>
                              <w:rFonts w:ascii="Copperplate Gothic Light" w:hAnsi="Copperplate Gothic Light"/>
                              <w:b/>
                              <w:color w:val="FFFF00"/>
                              <w:sz w:val="10"/>
                              <w:szCs w:val="72"/>
                            </w:rPr>
                          </w:pPr>
                        </w:p>
                        <w:p w:rsidR="00FC21BF" w:rsidRPr="004919D7" w:rsidRDefault="00FC21BF" w:rsidP="00FC21BF">
                          <w:pPr>
                            <w:spacing w:after="0" w:line="240" w:lineRule="auto"/>
                            <w:contextualSpacing/>
                            <w:jc w:val="center"/>
                            <w:rPr>
                              <w:rFonts w:ascii="Copperplate Gothic Light" w:hAnsi="Copperplate Gothic Light"/>
                              <w:b/>
                              <w:color w:val="FFFF00"/>
                              <w:sz w:val="72"/>
                              <w:szCs w:val="72"/>
                            </w:rPr>
                          </w:pPr>
                          <w:r>
                            <w:rPr>
                              <w:rFonts w:ascii="Copperplate Gothic Light" w:hAnsi="Copperplate Gothic Light"/>
                              <w:b/>
                              <w:color w:val="FFFF00"/>
                              <w:sz w:val="72"/>
                              <w:szCs w:val="72"/>
                            </w:rPr>
                            <w:t>H</w:t>
                          </w:r>
                          <w:r w:rsidRPr="004919D7">
                            <w:rPr>
                              <w:rFonts w:ascii="Copperplate Gothic Light" w:hAnsi="Copperplate Gothic Light"/>
                              <w:b/>
                              <w:color w:val="FFFF00"/>
                              <w:sz w:val="72"/>
                              <w:szCs w:val="72"/>
                            </w:rPr>
                            <w:t>O</w:t>
                          </w:r>
                        </w:p>
                        <w:p w:rsidR="00FC21BF" w:rsidRPr="004919D7" w:rsidRDefault="00FC21BF" w:rsidP="00FC21BF">
                          <w:pPr>
                            <w:spacing w:after="0" w:line="240" w:lineRule="auto"/>
                            <w:contextualSpacing/>
                            <w:rPr>
                              <w:rFonts w:ascii="Copperplate Gothic Light" w:hAnsi="Copperplate Gothic Light"/>
                              <w:sz w:val="72"/>
                              <w:szCs w:val="7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28.25pt;margin-top:15.15pt;width:78.55pt;height:60.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" fillcolor="#002060" stroked="f">
              <v:textbox>
                <w:txbxContent>
                  <w:p w:rsidR="00FC21BF" w:rsidRPr="004919D7" w:rsidRDefault="00FC21BF" w:rsidP="00FC21BF">
                    <w:pPr>
                      <w:spacing w:after="0" w:line="240" w:lineRule="auto"/>
                      <w:contextualSpacing/>
                      <w:jc w:val="center"/>
                      <w:rPr>
                        <w:rFonts w:ascii="Copperplate Gothic Light" w:hAnsi="Copperplate Gothic Light"/>
                        <w:b/>
                        <w:color w:val="FFFF00"/>
                        <w:sz w:val="10"/>
                        <w:szCs w:val="72"/>
                      </w:rPr>
                    </w:pPr>
                  </w:p>
                  <w:p w:rsidR="00FC21BF" w:rsidRPr="004919D7" w:rsidRDefault="00FC21BF" w:rsidP="00FC21BF">
                    <w:pPr>
                      <w:spacing w:after="0" w:line="240" w:lineRule="auto"/>
                      <w:contextualSpacing/>
                      <w:jc w:val="center"/>
                      <w:rPr>
                        <w:rFonts w:ascii="Copperplate Gothic Light" w:hAnsi="Copperplate Gothic Light"/>
                        <w:b/>
                        <w:color w:val="FFFF00"/>
                        <w:sz w:val="72"/>
                        <w:szCs w:val="72"/>
                      </w:rPr>
                    </w:pPr>
                    <w:r>
                      <w:rPr>
                        <w:rFonts w:ascii="Copperplate Gothic Light" w:hAnsi="Copperplate Gothic Light"/>
                        <w:b/>
                        <w:color w:val="FFFF00"/>
                        <w:sz w:val="72"/>
                        <w:szCs w:val="72"/>
                      </w:rPr>
                      <w:t>H</w:t>
                    </w:r>
                    <w:r w:rsidRPr="004919D7">
                      <w:rPr>
                        <w:rFonts w:ascii="Copperplate Gothic Light" w:hAnsi="Copperplate Gothic Light"/>
                        <w:b/>
                        <w:color w:val="FFFF00"/>
                        <w:sz w:val="72"/>
                        <w:szCs w:val="72"/>
                      </w:rPr>
                      <w:t>O</w:t>
                    </w:r>
                  </w:p>
                  <w:p w:rsidR="00FC21BF" w:rsidRPr="004919D7" w:rsidRDefault="00FC21BF" w:rsidP="00FC21BF">
                    <w:pPr>
                      <w:spacing w:after="0" w:line="240" w:lineRule="auto"/>
                      <w:contextualSpacing/>
                      <w:rPr>
                        <w:rFonts w:ascii="Copperplate Gothic Light" w:hAnsi="Copperplate Gothic Light"/>
                        <w:sz w:val="72"/>
                        <w:szCs w:val="72"/>
                      </w:rPr>
                    </w:pPr>
                  </w:p>
                </w:txbxContent>
              </v:textbox>
              <w10:wrap anchorx="page" anchory="page"/>
            </v:shape>
          </w:pict>
        </mc:Fallback>
      </mc:AlternateContent>
    </w:r>
  </w:p>
  <w:p w:rsidR="00436BBF" w:rsidRDefault="00436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C4D"/>
    <w:multiLevelType w:val="hybridMultilevel"/>
    <w:tmpl w:val="833E6CF2"/>
    <w:lvl w:ilvl="0" w:tplc="CA1C3E1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51844"/>
    <w:multiLevelType w:val="hybridMultilevel"/>
    <w:tmpl w:val="3488AA4C"/>
    <w:lvl w:ilvl="0" w:tplc="D0CE2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57BCC"/>
    <w:multiLevelType w:val="hybridMultilevel"/>
    <w:tmpl w:val="6D9A0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F46198"/>
    <w:multiLevelType w:val="hybridMultilevel"/>
    <w:tmpl w:val="A58C5A1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F3C9D"/>
    <w:multiLevelType w:val="hybridMultilevel"/>
    <w:tmpl w:val="94A4F4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5A19B9"/>
    <w:multiLevelType w:val="hybridMultilevel"/>
    <w:tmpl w:val="D7D0F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0C4445"/>
    <w:multiLevelType w:val="hybridMultilevel"/>
    <w:tmpl w:val="99B649B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2860EA"/>
    <w:multiLevelType w:val="hybridMultilevel"/>
    <w:tmpl w:val="A9C09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AB1B03"/>
    <w:multiLevelType w:val="hybridMultilevel"/>
    <w:tmpl w:val="F4202920"/>
    <w:lvl w:ilvl="0" w:tplc="7B8ABD0E">
      <w:start w:val="1"/>
      <w:numFmt w:val="decimal"/>
      <w:lvlText w:val="%1."/>
      <w:lvlJc w:val="left"/>
      <w:pPr>
        <w:ind w:left="720" w:hanging="360"/>
      </w:pPr>
      <w:rPr>
        <w:rFonts w:hint="default"/>
      </w:rPr>
    </w:lvl>
    <w:lvl w:ilvl="1" w:tplc="3E6C41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461A6E"/>
    <w:multiLevelType w:val="hybridMultilevel"/>
    <w:tmpl w:val="89A64EEE"/>
    <w:lvl w:ilvl="0" w:tplc="2D1C17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1">
    <w:nsid w:val="22124C93"/>
    <w:multiLevelType w:val="hybridMultilevel"/>
    <w:tmpl w:val="657CD9EC"/>
    <w:lvl w:ilvl="0" w:tplc="44EA5AA8">
      <w:start w:val="1"/>
      <w:numFmt w:val="upperLetter"/>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2">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13">
    <w:nsid w:val="256D03D4"/>
    <w:multiLevelType w:val="hybridMultilevel"/>
    <w:tmpl w:val="D7E034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B338F3"/>
    <w:multiLevelType w:val="hybridMultilevel"/>
    <w:tmpl w:val="3BCA2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353499"/>
    <w:multiLevelType w:val="hybridMultilevel"/>
    <w:tmpl w:val="09B6F1E0"/>
    <w:lvl w:ilvl="0" w:tplc="F2C87210">
      <w:start w:val="1"/>
      <w:numFmt w:val="decimal"/>
      <w:lvlText w:val="%1."/>
      <w:lvlJc w:val="left"/>
      <w:pPr>
        <w:ind w:left="720" w:hanging="360"/>
      </w:pPr>
      <w:rPr>
        <w:rFonts w:hint="default"/>
      </w:rPr>
    </w:lvl>
    <w:lvl w:ilvl="1" w:tplc="A3EAD0BA">
      <w:start w:val="5"/>
      <w:numFmt w:val="bullet"/>
      <w:lvlText w:val="-"/>
      <w:lvlJc w:val="left"/>
      <w:pPr>
        <w:ind w:left="1440" w:hanging="360"/>
      </w:pPr>
      <w:rPr>
        <w:rFonts w:ascii="Times New Roman" w:eastAsia="Batang"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5038C0"/>
    <w:multiLevelType w:val="hybridMultilevel"/>
    <w:tmpl w:val="6E10F5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E343CC0"/>
    <w:multiLevelType w:val="hybridMultilevel"/>
    <w:tmpl w:val="C85CF334"/>
    <w:lvl w:ilvl="0" w:tplc="7B8AB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C53F7F"/>
    <w:multiLevelType w:val="hybridMultilevel"/>
    <w:tmpl w:val="B77E1260"/>
    <w:lvl w:ilvl="0" w:tplc="0D06135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417D2B"/>
    <w:multiLevelType w:val="hybridMultilevel"/>
    <w:tmpl w:val="C3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AD45B7"/>
    <w:multiLevelType w:val="hybridMultilevel"/>
    <w:tmpl w:val="94BA1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DE7ABE"/>
    <w:multiLevelType w:val="hybridMultilevel"/>
    <w:tmpl w:val="B550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753461"/>
    <w:multiLevelType w:val="hybridMultilevel"/>
    <w:tmpl w:val="55F07036"/>
    <w:lvl w:ilvl="0" w:tplc="96C0D10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E36E43"/>
    <w:multiLevelType w:val="hybridMultilevel"/>
    <w:tmpl w:val="9E883EFC"/>
    <w:lvl w:ilvl="0" w:tplc="FB522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592D28"/>
    <w:multiLevelType w:val="hybridMultilevel"/>
    <w:tmpl w:val="2A80F590"/>
    <w:lvl w:ilvl="0" w:tplc="DC1810B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607A3F"/>
    <w:multiLevelType w:val="hybridMultilevel"/>
    <w:tmpl w:val="3FBA29CC"/>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5D5BA1"/>
    <w:multiLevelType w:val="hybridMultilevel"/>
    <w:tmpl w:val="AF387D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14874A4">
      <w:start w:val="3"/>
      <w:numFmt w:val="bullet"/>
      <w:lvlText w:val="-"/>
      <w:lvlJc w:val="left"/>
      <w:pPr>
        <w:ind w:left="2340" w:hanging="360"/>
      </w:pPr>
      <w:rPr>
        <w:rFonts w:ascii="Times New Roman" w:eastAsia="Batang"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795795"/>
    <w:multiLevelType w:val="hybridMultilevel"/>
    <w:tmpl w:val="8CC86A3E"/>
    <w:lvl w:ilvl="0" w:tplc="C7B0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33517E"/>
    <w:multiLevelType w:val="hybridMultilevel"/>
    <w:tmpl w:val="4204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3A203E"/>
    <w:multiLevelType w:val="hybridMultilevel"/>
    <w:tmpl w:val="EF425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4A547D"/>
    <w:multiLevelType w:val="hybridMultilevel"/>
    <w:tmpl w:val="AA760968"/>
    <w:lvl w:ilvl="0" w:tplc="4A42133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nsid w:val="5ED60777"/>
    <w:multiLevelType w:val="hybridMultilevel"/>
    <w:tmpl w:val="328A22C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F55105"/>
    <w:multiLevelType w:val="hybridMultilevel"/>
    <w:tmpl w:val="40485B3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6">
    <w:nsid w:val="64416A3D"/>
    <w:multiLevelType w:val="hybridMultilevel"/>
    <w:tmpl w:val="0C9AEA56"/>
    <w:lvl w:ilvl="0" w:tplc="59FA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847907"/>
    <w:multiLevelType w:val="hybridMultilevel"/>
    <w:tmpl w:val="E48A0D86"/>
    <w:lvl w:ilvl="0" w:tplc="2E0CE368">
      <w:start w:val="1"/>
      <w:numFmt w:val="bullet"/>
      <w:lvlText w:val="-"/>
      <w:lvlJc w:val="left"/>
      <w:pPr>
        <w:ind w:left="720" w:hanging="360"/>
      </w:pPr>
      <w:rPr>
        <w:rFonts w:ascii="Batang" w:eastAsia="Batang" w:hAnsi="Batang" w:cs="Times New Roman" w:hint="eastAsia"/>
      </w:rPr>
    </w:lvl>
    <w:lvl w:ilvl="1" w:tplc="2E0CE368">
      <w:start w:val="1"/>
      <w:numFmt w:val="bullet"/>
      <w:lvlText w:val="-"/>
      <w:lvlJc w:val="left"/>
      <w:pPr>
        <w:ind w:left="1440" w:hanging="360"/>
      </w:pPr>
      <w:rPr>
        <w:rFonts w:ascii="Batang" w:eastAsia="Batang" w:hAnsi="Batang"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201292"/>
    <w:multiLevelType w:val="hybridMultilevel"/>
    <w:tmpl w:val="72B27BAA"/>
    <w:lvl w:ilvl="0" w:tplc="C27EF2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A3A7FD1"/>
    <w:multiLevelType w:val="hybridMultilevel"/>
    <w:tmpl w:val="E7320E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6BD64C8B"/>
    <w:multiLevelType w:val="hybridMultilevel"/>
    <w:tmpl w:val="4DC63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1DD6BBC"/>
    <w:multiLevelType w:val="hybridMultilevel"/>
    <w:tmpl w:val="9EA22374"/>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2">
    <w:nsid w:val="737A6D5A"/>
    <w:multiLevelType w:val="hybridMultilevel"/>
    <w:tmpl w:val="24D6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2C1923"/>
    <w:multiLevelType w:val="hybridMultilevel"/>
    <w:tmpl w:val="333CF5B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413B65"/>
    <w:multiLevelType w:val="hybridMultilevel"/>
    <w:tmpl w:val="C70465BA"/>
    <w:lvl w:ilvl="0" w:tplc="33A80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2E1F8E"/>
    <w:multiLevelType w:val="hybridMultilevel"/>
    <w:tmpl w:val="B07E46EA"/>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35"/>
  </w:num>
  <w:num w:numId="3">
    <w:abstractNumId w:val="12"/>
  </w:num>
  <w:num w:numId="4">
    <w:abstractNumId w:val="6"/>
  </w:num>
  <w:num w:numId="5">
    <w:abstractNumId w:val="46"/>
  </w:num>
  <w:num w:numId="6">
    <w:abstractNumId w:val="13"/>
  </w:num>
  <w:num w:numId="7">
    <w:abstractNumId w:val="15"/>
  </w:num>
  <w:num w:numId="8">
    <w:abstractNumId w:val="43"/>
  </w:num>
  <w:num w:numId="9">
    <w:abstractNumId w:val="27"/>
  </w:num>
  <w:num w:numId="10">
    <w:abstractNumId w:val="3"/>
  </w:num>
  <w:num w:numId="11">
    <w:abstractNumId w:val="20"/>
  </w:num>
  <w:num w:numId="12">
    <w:abstractNumId w:val="40"/>
  </w:num>
  <w:num w:numId="13">
    <w:abstractNumId w:val="41"/>
  </w:num>
  <w:num w:numId="14">
    <w:abstractNumId w:val="4"/>
  </w:num>
  <w:num w:numId="15">
    <w:abstractNumId w:val="39"/>
  </w:num>
  <w:num w:numId="16">
    <w:abstractNumId w:val="17"/>
  </w:num>
  <w:num w:numId="17">
    <w:abstractNumId w:val="7"/>
  </w:num>
  <w:num w:numId="18">
    <w:abstractNumId w:val="1"/>
  </w:num>
  <w:num w:numId="19">
    <w:abstractNumId w:val="18"/>
  </w:num>
  <w:num w:numId="20">
    <w:abstractNumId w:val="8"/>
  </w:num>
  <w:num w:numId="21">
    <w:abstractNumId w:val="25"/>
  </w:num>
  <w:num w:numId="22">
    <w:abstractNumId w:val="44"/>
  </w:num>
  <w:num w:numId="23">
    <w:abstractNumId w:val="28"/>
  </w:num>
  <w:num w:numId="24">
    <w:abstractNumId w:val="24"/>
  </w:num>
  <w:num w:numId="25">
    <w:abstractNumId w:val="26"/>
  </w:num>
  <w:num w:numId="26">
    <w:abstractNumId w:val="0"/>
  </w:num>
  <w:num w:numId="27">
    <w:abstractNumId w:val="29"/>
  </w:num>
  <w:num w:numId="28">
    <w:abstractNumId w:val="14"/>
  </w:num>
  <w:num w:numId="29">
    <w:abstractNumId w:val="36"/>
  </w:num>
  <w:num w:numId="30">
    <w:abstractNumId w:val="32"/>
  </w:num>
  <w:num w:numId="31">
    <w:abstractNumId w:val="11"/>
  </w:num>
  <w:num w:numId="32">
    <w:abstractNumId w:val="19"/>
  </w:num>
  <w:num w:numId="33">
    <w:abstractNumId w:val="9"/>
  </w:num>
  <w:num w:numId="34">
    <w:abstractNumId w:val="22"/>
  </w:num>
  <w:num w:numId="35">
    <w:abstractNumId w:val="38"/>
  </w:num>
  <w:num w:numId="36">
    <w:abstractNumId w:val="2"/>
  </w:num>
  <w:num w:numId="37">
    <w:abstractNumId w:val="42"/>
  </w:num>
  <w:num w:numId="38">
    <w:abstractNumId w:val="16"/>
  </w:num>
  <w:num w:numId="39">
    <w:abstractNumId w:val="34"/>
  </w:num>
  <w:num w:numId="40">
    <w:abstractNumId w:val="37"/>
  </w:num>
  <w:num w:numId="41">
    <w:abstractNumId w:val="33"/>
  </w:num>
  <w:num w:numId="42">
    <w:abstractNumId w:val="45"/>
  </w:num>
  <w:num w:numId="43">
    <w:abstractNumId w:val="21"/>
  </w:num>
  <w:num w:numId="44">
    <w:abstractNumId w:val="5"/>
  </w:num>
  <w:num w:numId="45">
    <w:abstractNumId w:val="30"/>
  </w:num>
  <w:num w:numId="46">
    <w:abstractNumId w:val="23"/>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FC"/>
    <w:rsid w:val="000032E4"/>
    <w:rsid w:val="00005FFC"/>
    <w:rsid w:val="000123CD"/>
    <w:rsid w:val="00013F4D"/>
    <w:rsid w:val="00034292"/>
    <w:rsid w:val="00034F33"/>
    <w:rsid w:val="00037740"/>
    <w:rsid w:val="00041A8E"/>
    <w:rsid w:val="00044780"/>
    <w:rsid w:val="00050FD3"/>
    <w:rsid w:val="000632F3"/>
    <w:rsid w:val="00066D3D"/>
    <w:rsid w:val="00072934"/>
    <w:rsid w:val="00076EB4"/>
    <w:rsid w:val="00077EE4"/>
    <w:rsid w:val="00077EE5"/>
    <w:rsid w:val="00086634"/>
    <w:rsid w:val="00087179"/>
    <w:rsid w:val="0008760D"/>
    <w:rsid w:val="00090B94"/>
    <w:rsid w:val="00094FEA"/>
    <w:rsid w:val="000953D9"/>
    <w:rsid w:val="000B4E34"/>
    <w:rsid w:val="000D6A76"/>
    <w:rsid w:val="000E6537"/>
    <w:rsid w:val="000F6D7E"/>
    <w:rsid w:val="000F7398"/>
    <w:rsid w:val="001068A8"/>
    <w:rsid w:val="0011433F"/>
    <w:rsid w:val="00115B4C"/>
    <w:rsid w:val="0012455F"/>
    <w:rsid w:val="00134657"/>
    <w:rsid w:val="00136CE9"/>
    <w:rsid w:val="00137CEB"/>
    <w:rsid w:val="00140566"/>
    <w:rsid w:val="0015084E"/>
    <w:rsid w:val="00156713"/>
    <w:rsid w:val="0016083C"/>
    <w:rsid w:val="001646C6"/>
    <w:rsid w:val="00166804"/>
    <w:rsid w:val="001703BA"/>
    <w:rsid w:val="00175AD9"/>
    <w:rsid w:val="00176D3F"/>
    <w:rsid w:val="001931F1"/>
    <w:rsid w:val="001A3794"/>
    <w:rsid w:val="001B2D20"/>
    <w:rsid w:val="001B72EE"/>
    <w:rsid w:val="001C28C5"/>
    <w:rsid w:val="001F0B74"/>
    <w:rsid w:val="001F194A"/>
    <w:rsid w:val="001F3E81"/>
    <w:rsid w:val="00201A61"/>
    <w:rsid w:val="002211B3"/>
    <w:rsid w:val="002217A6"/>
    <w:rsid w:val="002233E1"/>
    <w:rsid w:val="0022664D"/>
    <w:rsid w:val="00232001"/>
    <w:rsid w:val="00235E63"/>
    <w:rsid w:val="00236566"/>
    <w:rsid w:val="0024277E"/>
    <w:rsid w:val="0024301D"/>
    <w:rsid w:val="0024327B"/>
    <w:rsid w:val="002439D6"/>
    <w:rsid w:val="002452AD"/>
    <w:rsid w:val="0025125A"/>
    <w:rsid w:val="00251F09"/>
    <w:rsid w:val="00260AC0"/>
    <w:rsid w:val="00262A25"/>
    <w:rsid w:val="00264938"/>
    <w:rsid w:val="00266FB9"/>
    <w:rsid w:val="00272912"/>
    <w:rsid w:val="002733C7"/>
    <w:rsid w:val="00275F7D"/>
    <w:rsid w:val="00277F66"/>
    <w:rsid w:val="002910E0"/>
    <w:rsid w:val="002C70A8"/>
    <w:rsid w:val="002D1928"/>
    <w:rsid w:val="002D47A8"/>
    <w:rsid w:val="002D6E26"/>
    <w:rsid w:val="002E71BE"/>
    <w:rsid w:val="003001D2"/>
    <w:rsid w:val="00300852"/>
    <w:rsid w:val="003009EB"/>
    <w:rsid w:val="0031244D"/>
    <w:rsid w:val="00316091"/>
    <w:rsid w:val="00321504"/>
    <w:rsid w:val="00351C6B"/>
    <w:rsid w:val="003523F8"/>
    <w:rsid w:val="00352AF4"/>
    <w:rsid w:val="00353970"/>
    <w:rsid w:val="00360050"/>
    <w:rsid w:val="003813F4"/>
    <w:rsid w:val="00384177"/>
    <w:rsid w:val="00391634"/>
    <w:rsid w:val="003921F5"/>
    <w:rsid w:val="00393631"/>
    <w:rsid w:val="0039721E"/>
    <w:rsid w:val="0039786C"/>
    <w:rsid w:val="003C0888"/>
    <w:rsid w:val="003C1B65"/>
    <w:rsid w:val="003C2CB9"/>
    <w:rsid w:val="003C7BE6"/>
    <w:rsid w:val="003D195E"/>
    <w:rsid w:val="003D59FF"/>
    <w:rsid w:val="003D5DBA"/>
    <w:rsid w:val="003E14AB"/>
    <w:rsid w:val="003F4439"/>
    <w:rsid w:val="0041398A"/>
    <w:rsid w:val="004141C9"/>
    <w:rsid w:val="00430486"/>
    <w:rsid w:val="00430B49"/>
    <w:rsid w:val="00435D14"/>
    <w:rsid w:val="00435F64"/>
    <w:rsid w:val="00436BBF"/>
    <w:rsid w:val="00442839"/>
    <w:rsid w:val="00452414"/>
    <w:rsid w:val="004578AF"/>
    <w:rsid w:val="00461553"/>
    <w:rsid w:val="004637FB"/>
    <w:rsid w:val="00467DD8"/>
    <w:rsid w:val="00471C29"/>
    <w:rsid w:val="00474F9B"/>
    <w:rsid w:val="004919D7"/>
    <w:rsid w:val="00496295"/>
    <w:rsid w:val="004B20F3"/>
    <w:rsid w:val="004B516F"/>
    <w:rsid w:val="004B5335"/>
    <w:rsid w:val="004B6464"/>
    <w:rsid w:val="004C4F59"/>
    <w:rsid w:val="004C6289"/>
    <w:rsid w:val="004E1170"/>
    <w:rsid w:val="004E1FE5"/>
    <w:rsid w:val="004F016E"/>
    <w:rsid w:val="004F354D"/>
    <w:rsid w:val="004F582A"/>
    <w:rsid w:val="00500BE8"/>
    <w:rsid w:val="00503E82"/>
    <w:rsid w:val="005111B9"/>
    <w:rsid w:val="00521564"/>
    <w:rsid w:val="00521E4C"/>
    <w:rsid w:val="00523F5B"/>
    <w:rsid w:val="00526EB3"/>
    <w:rsid w:val="0053336D"/>
    <w:rsid w:val="005423C1"/>
    <w:rsid w:val="005467F0"/>
    <w:rsid w:val="0055181E"/>
    <w:rsid w:val="00560817"/>
    <w:rsid w:val="00572016"/>
    <w:rsid w:val="00574184"/>
    <w:rsid w:val="00586F3C"/>
    <w:rsid w:val="0059013A"/>
    <w:rsid w:val="005959E5"/>
    <w:rsid w:val="005B12DB"/>
    <w:rsid w:val="005B354C"/>
    <w:rsid w:val="005B657E"/>
    <w:rsid w:val="005C4585"/>
    <w:rsid w:val="005C4ADB"/>
    <w:rsid w:val="005D6BD5"/>
    <w:rsid w:val="005E15F7"/>
    <w:rsid w:val="005E1CCC"/>
    <w:rsid w:val="005E6DC4"/>
    <w:rsid w:val="005E6FF2"/>
    <w:rsid w:val="005F1AA6"/>
    <w:rsid w:val="005F4B02"/>
    <w:rsid w:val="006058B5"/>
    <w:rsid w:val="00611AF4"/>
    <w:rsid w:val="00615BB7"/>
    <w:rsid w:val="00620C12"/>
    <w:rsid w:val="00622DB1"/>
    <w:rsid w:val="00643615"/>
    <w:rsid w:val="0064492D"/>
    <w:rsid w:val="0064620D"/>
    <w:rsid w:val="00650286"/>
    <w:rsid w:val="006569FC"/>
    <w:rsid w:val="00656EDB"/>
    <w:rsid w:val="00657B13"/>
    <w:rsid w:val="006607BA"/>
    <w:rsid w:val="0066561B"/>
    <w:rsid w:val="00672B72"/>
    <w:rsid w:val="006A01A3"/>
    <w:rsid w:val="006A154F"/>
    <w:rsid w:val="006A1889"/>
    <w:rsid w:val="006B4F9B"/>
    <w:rsid w:val="006C1354"/>
    <w:rsid w:val="006C1372"/>
    <w:rsid w:val="006C2EFA"/>
    <w:rsid w:val="006D1A4A"/>
    <w:rsid w:val="006D7F11"/>
    <w:rsid w:val="006E16E4"/>
    <w:rsid w:val="006E4387"/>
    <w:rsid w:val="006E63C9"/>
    <w:rsid w:val="006E7329"/>
    <w:rsid w:val="006F4F14"/>
    <w:rsid w:val="006F7BFB"/>
    <w:rsid w:val="0070016C"/>
    <w:rsid w:val="00705699"/>
    <w:rsid w:val="00705FB4"/>
    <w:rsid w:val="00707388"/>
    <w:rsid w:val="00710DF6"/>
    <w:rsid w:val="00710E39"/>
    <w:rsid w:val="00711070"/>
    <w:rsid w:val="0072478F"/>
    <w:rsid w:val="00725CDF"/>
    <w:rsid w:val="007360B7"/>
    <w:rsid w:val="00736512"/>
    <w:rsid w:val="00737EEE"/>
    <w:rsid w:val="007436EC"/>
    <w:rsid w:val="00745647"/>
    <w:rsid w:val="0077099E"/>
    <w:rsid w:val="00771D13"/>
    <w:rsid w:val="007800C3"/>
    <w:rsid w:val="0078043C"/>
    <w:rsid w:val="00790EB1"/>
    <w:rsid w:val="007B5BB6"/>
    <w:rsid w:val="007C3699"/>
    <w:rsid w:val="007C3D35"/>
    <w:rsid w:val="007C5C0A"/>
    <w:rsid w:val="007D040E"/>
    <w:rsid w:val="007D7AAF"/>
    <w:rsid w:val="007E3588"/>
    <w:rsid w:val="00804B33"/>
    <w:rsid w:val="00804C56"/>
    <w:rsid w:val="008051BD"/>
    <w:rsid w:val="0081107A"/>
    <w:rsid w:val="0081651D"/>
    <w:rsid w:val="00832534"/>
    <w:rsid w:val="00836303"/>
    <w:rsid w:val="00841BE2"/>
    <w:rsid w:val="00847F54"/>
    <w:rsid w:val="008651BE"/>
    <w:rsid w:val="00874413"/>
    <w:rsid w:val="00874957"/>
    <w:rsid w:val="00875960"/>
    <w:rsid w:val="008840D2"/>
    <w:rsid w:val="00887328"/>
    <w:rsid w:val="00893956"/>
    <w:rsid w:val="00897119"/>
    <w:rsid w:val="008A0A5C"/>
    <w:rsid w:val="008A1FFC"/>
    <w:rsid w:val="008D15CF"/>
    <w:rsid w:val="008D30DF"/>
    <w:rsid w:val="008D6A71"/>
    <w:rsid w:val="008E00C2"/>
    <w:rsid w:val="008E0B6D"/>
    <w:rsid w:val="008E3A29"/>
    <w:rsid w:val="008E433F"/>
    <w:rsid w:val="008E5A53"/>
    <w:rsid w:val="008E5F9D"/>
    <w:rsid w:val="008F4FD6"/>
    <w:rsid w:val="008F5EBC"/>
    <w:rsid w:val="00913DE0"/>
    <w:rsid w:val="00914A7F"/>
    <w:rsid w:val="00922AE5"/>
    <w:rsid w:val="0092365D"/>
    <w:rsid w:val="00935D86"/>
    <w:rsid w:val="009504A0"/>
    <w:rsid w:val="00950928"/>
    <w:rsid w:val="00950B3E"/>
    <w:rsid w:val="009518D4"/>
    <w:rsid w:val="00951B59"/>
    <w:rsid w:val="00961938"/>
    <w:rsid w:val="00962B9D"/>
    <w:rsid w:val="00964EEB"/>
    <w:rsid w:val="009668A9"/>
    <w:rsid w:val="00985386"/>
    <w:rsid w:val="009863B1"/>
    <w:rsid w:val="0099048A"/>
    <w:rsid w:val="009905FD"/>
    <w:rsid w:val="009A295F"/>
    <w:rsid w:val="009A70F4"/>
    <w:rsid w:val="009D3F9F"/>
    <w:rsid w:val="009D7F6A"/>
    <w:rsid w:val="009E0A43"/>
    <w:rsid w:val="009E0AF1"/>
    <w:rsid w:val="00A15A97"/>
    <w:rsid w:val="00A20A11"/>
    <w:rsid w:val="00A21AAB"/>
    <w:rsid w:val="00A21CBA"/>
    <w:rsid w:val="00A257A0"/>
    <w:rsid w:val="00A30B82"/>
    <w:rsid w:val="00A376CD"/>
    <w:rsid w:val="00A409B8"/>
    <w:rsid w:val="00A50BCA"/>
    <w:rsid w:val="00A809C4"/>
    <w:rsid w:val="00A932B3"/>
    <w:rsid w:val="00A94D25"/>
    <w:rsid w:val="00AA107C"/>
    <w:rsid w:val="00AA15BD"/>
    <w:rsid w:val="00AA6074"/>
    <w:rsid w:val="00AB4D06"/>
    <w:rsid w:val="00AB7A00"/>
    <w:rsid w:val="00AC3CA6"/>
    <w:rsid w:val="00AD3FBB"/>
    <w:rsid w:val="00AD7BEF"/>
    <w:rsid w:val="00AE18C4"/>
    <w:rsid w:val="00B06BD7"/>
    <w:rsid w:val="00B11232"/>
    <w:rsid w:val="00B142D0"/>
    <w:rsid w:val="00B31756"/>
    <w:rsid w:val="00B31DE8"/>
    <w:rsid w:val="00B32F32"/>
    <w:rsid w:val="00B34027"/>
    <w:rsid w:val="00B343C3"/>
    <w:rsid w:val="00B42168"/>
    <w:rsid w:val="00B4385F"/>
    <w:rsid w:val="00B524A9"/>
    <w:rsid w:val="00B53D7F"/>
    <w:rsid w:val="00B54179"/>
    <w:rsid w:val="00B637A6"/>
    <w:rsid w:val="00B66822"/>
    <w:rsid w:val="00B7464C"/>
    <w:rsid w:val="00B76181"/>
    <w:rsid w:val="00B82100"/>
    <w:rsid w:val="00B86BFB"/>
    <w:rsid w:val="00B86E56"/>
    <w:rsid w:val="00BB0AC7"/>
    <w:rsid w:val="00BB1100"/>
    <w:rsid w:val="00BB1111"/>
    <w:rsid w:val="00BB4EED"/>
    <w:rsid w:val="00BD7354"/>
    <w:rsid w:val="00BE32B9"/>
    <w:rsid w:val="00BE4B62"/>
    <w:rsid w:val="00BE5117"/>
    <w:rsid w:val="00BF1F70"/>
    <w:rsid w:val="00C14BAD"/>
    <w:rsid w:val="00C20516"/>
    <w:rsid w:val="00C27C1A"/>
    <w:rsid w:val="00C47217"/>
    <w:rsid w:val="00C51138"/>
    <w:rsid w:val="00C534D9"/>
    <w:rsid w:val="00C53A26"/>
    <w:rsid w:val="00C56776"/>
    <w:rsid w:val="00C60C09"/>
    <w:rsid w:val="00C62FA5"/>
    <w:rsid w:val="00C646CD"/>
    <w:rsid w:val="00C64AF4"/>
    <w:rsid w:val="00C70CCA"/>
    <w:rsid w:val="00C7548F"/>
    <w:rsid w:val="00C851FC"/>
    <w:rsid w:val="00C878F5"/>
    <w:rsid w:val="00C9092F"/>
    <w:rsid w:val="00CB39AA"/>
    <w:rsid w:val="00CC0290"/>
    <w:rsid w:val="00CC0612"/>
    <w:rsid w:val="00CE1022"/>
    <w:rsid w:val="00CE74E9"/>
    <w:rsid w:val="00CE7E75"/>
    <w:rsid w:val="00D02E5D"/>
    <w:rsid w:val="00D03286"/>
    <w:rsid w:val="00D0506B"/>
    <w:rsid w:val="00D2457A"/>
    <w:rsid w:val="00D24F9B"/>
    <w:rsid w:val="00D34864"/>
    <w:rsid w:val="00D356BF"/>
    <w:rsid w:val="00D40DC4"/>
    <w:rsid w:val="00D505FD"/>
    <w:rsid w:val="00D62FD9"/>
    <w:rsid w:val="00D64FAB"/>
    <w:rsid w:val="00D72F53"/>
    <w:rsid w:val="00D90D7F"/>
    <w:rsid w:val="00D9249E"/>
    <w:rsid w:val="00D94959"/>
    <w:rsid w:val="00D957E5"/>
    <w:rsid w:val="00DA2645"/>
    <w:rsid w:val="00DA3760"/>
    <w:rsid w:val="00DA52F2"/>
    <w:rsid w:val="00DB5859"/>
    <w:rsid w:val="00DC3265"/>
    <w:rsid w:val="00DD33B6"/>
    <w:rsid w:val="00DD33C5"/>
    <w:rsid w:val="00DF0D53"/>
    <w:rsid w:val="00E0011E"/>
    <w:rsid w:val="00E021DE"/>
    <w:rsid w:val="00E02618"/>
    <w:rsid w:val="00E10717"/>
    <w:rsid w:val="00E11BA5"/>
    <w:rsid w:val="00E12BFB"/>
    <w:rsid w:val="00E2321A"/>
    <w:rsid w:val="00E3606C"/>
    <w:rsid w:val="00E4176C"/>
    <w:rsid w:val="00E43A39"/>
    <w:rsid w:val="00E47D68"/>
    <w:rsid w:val="00E47F00"/>
    <w:rsid w:val="00E52B03"/>
    <w:rsid w:val="00E56B9E"/>
    <w:rsid w:val="00E65A2B"/>
    <w:rsid w:val="00E70BA1"/>
    <w:rsid w:val="00E72CC2"/>
    <w:rsid w:val="00E81371"/>
    <w:rsid w:val="00E8254D"/>
    <w:rsid w:val="00E830D4"/>
    <w:rsid w:val="00E8384B"/>
    <w:rsid w:val="00E848B0"/>
    <w:rsid w:val="00E9199E"/>
    <w:rsid w:val="00E94BA0"/>
    <w:rsid w:val="00EA1EED"/>
    <w:rsid w:val="00EA2CA4"/>
    <w:rsid w:val="00EA6203"/>
    <w:rsid w:val="00EA627C"/>
    <w:rsid w:val="00EA6C31"/>
    <w:rsid w:val="00EB392B"/>
    <w:rsid w:val="00EB4E90"/>
    <w:rsid w:val="00EB7BAA"/>
    <w:rsid w:val="00EB7C79"/>
    <w:rsid w:val="00ED1F0B"/>
    <w:rsid w:val="00EE66AA"/>
    <w:rsid w:val="00F031D7"/>
    <w:rsid w:val="00F0422E"/>
    <w:rsid w:val="00F157D9"/>
    <w:rsid w:val="00F21737"/>
    <w:rsid w:val="00F25E1B"/>
    <w:rsid w:val="00F4713C"/>
    <w:rsid w:val="00F47516"/>
    <w:rsid w:val="00F51DE8"/>
    <w:rsid w:val="00F6206B"/>
    <w:rsid w:val="00F70F8B"/>
    <w:rsid w:val="00F752DC"/>
    <w:rsid w:val="00F80F12"/>
    <w:rsid w:val="00F82DB3"/>
    <w:rsid w:val="00F91F8D"/>
    <w:rsid w:val="00F961C5"/>
    <w:rsid w:val="00F97FDD"/>
    <w:rsid w:val="00FA714B"/>
    <w:rsid w:val="00FB151F"/>
    <w:rsid w:val="00FB2F13"/>
    <w:rsid w:val="00FB33D5"/>
    <w:rsid w:val="00FB69A9"/>
    <w:rsid w:val="00FB6F23"/>
    <w:rsid w:val="00FB7CC0"/>
    <w:rsid w:val="00FC0302"/>
    <w:rsid w:val="00FC0E23"/>
    <w:rsid w:val="00FC21BF"/>
    <w:rsid w:val="00FE5DFD"/>
    <w:rsid w:val="00FF1E66"/>
    <w:rsid w:val="00FF3F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98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40FE88-A40C-4889-9762-D99305DB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Volume 2: Sectoral Studies</vt:lpstr>
    </vt:vector>
  </TitlesOfParts>
  <Company/>
  <LinksUpToDate>false</LinksUpToDate>
  <CharactersWithSpaces>14977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Sectoral Studies</dc:title>
  <dc:creator>samsung</dc:creator>
  <cp:lastModifiedBy>mpdcmangaldan2016</cp:lastModifiedBy>
  <cp:revision>6</cp:revision>
  <cp:lastPrinted>2017-01-10T04:57:00Z</cp:lastPrinted>
  <dcterms:created xsi:type="dcterms:W3CDTF">2017-01-07T09:12:00Z</dcterms:created>
  <dcterms:modified xsi:type="dcterms:W3CDTF">2017-04-25T02:15:00Z</dcterms:modified>
</cp:coreProperties>
</file>