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689" w:rsidRPr="00D44675" w:rsidRDefault="007360B7" w:rsidP="00CB26BA">
      <w:pPr>
        <w:spacing w:line="360" w:lineRule="auto"/>
        <w:rPr>
          <w:rFonts w:ascii="Times New Roman" w:eastAsia="Batang" w:hAnsi="Times New Roman" w:cs="Times New Roman"/>
          <w:b/>
          <w:sz w:val="24"/>
          <w:szCs w:val="24"/>
        </w:rPr>
      </w:pPr>
      <w:r w:rsidRPr="00ED1F0B">
        <w:rPr>
          <w:rFonts w:ascii="Times New Roman" w:hAnsi="Times New Roman" w:cs="Times New Roman"/>
          <w:b/>
          <w:sz w:val="24"/>
          <w:szCs w:val="24"/>
        </w:rPr>
        <w:tab/>
      </w:r>
      <w:r w:rsidR="00CB26BA">
        <w:rPr>
          <w:rFonts w:ascii="Times New Roman" w:hAnsi="Times New Roman" w:cs="Times New Roman"/>
          <w:b/>
          <w:sz w:val="24"/>
          <w:szCs w:val="24"/>
        </w:rPr>
        <w:tab/>
      </w:r>
      <w:r w:rsidR="002C4689" w:rsidRPr="00D44675">
        <w:rPr>
          <w:rFonts w:ascii="Times New Roman" w:eastAsia="Batang" w:hAnsi="Times New Roman" w:cs="Times New Roman"/>
          <w:b/>
          <w:sz w:val="24"/>
          <w:szCs w:val="24"/>
        </w:rPr>
        <w:t>POWER</w:t>
      </w:r>
    </w:p>
    <w:p w:rsidR="002C4689" w:rsidRPr="00942162" w:rsidRDefault="002C4689" w:rsidP="003D6FE6">
      <w:pPr>
        <w:spacing w:after="0"/>
        <w:ind w:left="720" w:firstLine="720"/>
        <w:rPr>
          <w:rFonts w:ascii="Times New Roman" w:eastAsia="Batang" w:hAnsi="Times New Roman" w:cs="Times New Roman"/>
          <w:b/>
          <w:sz w:val="24"/>
          <w:szCs w:val="24"/>
        </w:rPr>
      </w:pPr>
      <w:r w:rsidRPr="00942162">
        <w:rPr>
          <w:rFonts w:ascii="Times New Roman" w:eastAsia="Batang" w:hAnsi="Times New Roman" w:cs="Times New Roman"/>
          <w:b/>
          <w:sz w:val="24"/>
          <w:szCs w:val="24"/>
        </w:rPr>
        <w:t xml:space="preserve">Household Served and </w:t>
      </w:r>
      <w:proofErr w:type="spellStart"/>
      <w:r w:rsidRPr="00942162">
        <w:rPr>
          <w:rFonts w:ascii="Times New Roman" w:eastAsia="Batang" w:hAnsi="Times New Roman" w:cs="Times New Roman"/>
          <w:b/>
          <w:sz w:val="24"/>
          <w:szCs w:val="24"/>
        </w:rPr>
        <w:t>Unserved</w:t>
      </w:r>
      <w:proofErr w:type="spellEnd"/>
      <w:r w:rsidRPr="00942162">
        <w:rPr>
          <w:rFonts w:ascii="Times New Roman" w:eastAsia="Batang" w:hAnsi="Times New Roman" w:cs="Times New Roman"/>
          <w:b/>
          <w:sz w:val="24"/>
          <w:szCs w:val="24"/>
        </w:rPr>
        <w:t xml:space="preserve"> by Electricity</w:t>
      </w:r>
    </w:p>
    <w:p w:rsidR="002C4689" w:rsidRPr="00E378D9" w:rsidRDefault="002C4689" w:rsidP="002C4689">
      <w:pPr>
        <w:pStyle w:val="ListParagraph"/>
        <w:spacing w:after="0"/>
        <w:contextualSpacing w:val="0"/>
        <w:rPr>
          <w:rFonts w:ascii="Times New Roman" w:eastAsia="Batang" w:hAnsi="Times New Roman" w:cs="Times New Roman"/>
          <w:sz w:val="24"/>
          <w:szCs w:val="24"/>
        </w:rPr>
      </w:pPr>
    </w:p>
    <w:p w:rsidR="002C4689" w:rsidRPr="00E378D9" w:rsidRDefault="002C4689" w:rsidP="003D6FE6">
      <w:pPr>
        <w:ind w:left="1080" w:firstLine="360"/>
        <w:rPr>
          <w:rFonts w:ascii="Times New Roman" w:eastAsia="Batang" w:hAnsi="Times New Roman" w:cs="Times New Roman"/>
          <w:b/>
          <w:sz w:val="24"/>
          <w:szCs w:val="24"/>
        </w:rPr>
      </w:pPr>
      <w:r w:rsidRPr="00E378D9">
        <w:rPr>
          <w:rFonts w:ascii="Times New Roman" w:eastAsia="Batang" w:hAnsi="Times New Roman" w:cs="Times New Roman"/>
          <w:b/>
          <w:sz w:val="24"/>
          <w:szCs w:val="24"/>
        </w:rPr>
        <w:t>Electric Services</w:t>
      </w:r>
    </w:p>
    <w:p w:rsidR="002C4689" w:rsidRPr="00E378D9" w:rsidRDefault="002C4689" w:rsidP="003D6FE6">
      <w:pPr>
        <w:spacing w:line="360" w:lineRule="auto"/>
        <w:ind w:left="144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Electric Power Services are provided by </w:t>
      </w:r>
      <w:r>
        <w:rPr>
          <w:rFonts w:ascii="Times New Roman" w:eastAsia="Batang" w:hAnsi="Times New Roman" w:cs="Times New Roman"/>
          <w:sz w:val="24"/>
          <w:szCs w:val="24"/>
        </w:rPr>
        <w:t>CENPELCO,</w:t>
      </w:r>
      <w:r w:rsidRPr="00E378D9">
        <w:rPr>
          <w:rFonts w:ascii="Times New Roman" w:eastAsia="Batang" w:hAnsi="Times New Roman" w:cs="Times New Roman"/>
          <w:sz w:val="24"/>
          <w:szCs w:val="24"/>
        </w:rPr>
        <w:t xml:space="preserve"> the nearest branch located at </w:t>
      </w:r>
      <w:proofErr w:type="spellStart"/>
      <w:r>
        <w:rPr>
          <w:rFonts w:ascii="Times New Roman" w:eastAsia="Batang" w:hAnsi="Times New Roman" w:cs="Times New Roman"/>
          <w:sz w:val="24"/>
          <w:szCs w:val="24"/>
        </w:rPr>
        <w:t>Brgy</w:t>
      </w:r>
      <w:proofErr w:type="spellEnd"/>
      <w:r>
        <w:rPr>
          <w:rFonts w:ascii="Times New Roman" w:eastAsia="Batang" w:hAnsi="Times New Roman" w:cs="Times New Roman"/>
          <w:sz w:val="24"/>
          <w:szCs w:val="24"/>
        </w:rPr>
        <w:t xml:space="preserve">. </w:t>
      </w:r>
      <w:proofErr w:type="spellStart"/>
      <w:r>
        <w:rPr>
          <w:rFonts w:ascii="Times New Roman" w:eastAsia="Batang" w:hAnsi="Times New Roman" w:cs="Times New Roman"/>
          <w:sz w:val="24"/>
          <w:szCs w:val="24"/>
        </w:rPr>
        <w:t>Banaoang</w:t>
      </w:r>
      <w:proofErr w:type="spellEnd"/>
      <w:r w:rsidRPr="00E378D9">
        <w:rPr>
          <w:rFonts w:ascii="Times New Roman" w:eastAsia="Batang" w:hAnsi="Times New Roman" w:cs="Times New Roman"/>
          <w:sz w:val="24"/>
          <w:szCs w:val="24"/>
        </w:rPr>
        <w:t xml:space="preserve"> serves as the collection office of </w:t>
      </w:r>
      <w:r>
        <w:rPr>
          <w:rFonts w:ascii="Times New Roman" w:eastAsia="Batang" w:hAnsi="Times New Roman" w:cs="Times New Roman"/>
          <w:sz w:val="24"/>
          <w:szCs w:val="24"/>
        </w:rPr>
        <w:t>CENPELCO</w:t>
      </w:r>
      <w:r w:rsidRPr="00E378D9">
        <w:rPr>
          <w:rFonts w:ascii="Times New Roman" w:eastAsia="Batang" w:hAnsi="Times New Roman" w:cs="Times New Roman"/>
          <w:sz w:val="24"/>
          <w:szCs w:val="24"/>
        </w:rPr>
        <w:t xml:space="preserve"> where </w:t>
      </w:r>
      <w:proofErr w:type="spellStart"/>
      <w:r>
        <w:rPr>
          <w:rFonts w:ascii="Times New Roman" w:eastAsia="Batang" w:hAnsi="Times New Roman" w:cs="Times New Roman"/>
          <w:sz w:val="24"/>
          <w:szCs w:val="24"/>
        </w:rPr>
        <w:t>Mangaldan</w:t>
      </w:r>
      <w:proofErr w:type="spellEnd"/>
      <w:r w:rsidRPr="00E378D9">
        <w:rPr>
          <w:rFonts w:ascii="Times New Roman" w:eastAsia="Batang" w:hAnsi="Times New Roman" w:cs="Times New Roman"/>
          <w:sz w:val="24"/>
          <w:szCs w:val="24"/>
        </w:rPr>
        <w:t xml:space="preserve"> subscribers pay their fees. </w:t>
      </w:r>
      <w:r>
        <w:rPr>
          <w:rFonts w:ascii="Times New Roman" w:eastAsia="Batang" w:hAnsi="Times New Roman" w:cs="Times New Roman"/>
          <w:sz w:val="24"/>
          <w:szCs w:val="24"/>
        </w:rPr>
        <w:t>The 30</w:t>
      </w:r>
      <w:r w:rsidRPr="00E378D9">
        <w:rPr>
          <w:rFonts w:ascii="Times New Roman" w:eastAsia="Batang" w:hAnsi="Times New Roman" w:cs="Times New Roman"/>
          <w:sz w:val="24"/>
          <w:szCs w:val="24"/>
        </w:rPr>
        <w:t xml:space="preserve"> barangays of </w:t>
      </w:r>
      <w:proofErr w:type="spellStart"/>
      <w:r>
        <w:rPr>
          <w:rFonts w:ascii="Times New Roman" w:eastAsia="Batang" w:hAnsi="Times New Roman" w:cs="Times New Roman"/>
          <w:sz w:val="24"/>
          <w:szCs w:val="24"/>
        </w:rPr>
        <w:t>Mangaldan</w:t>
      </w:r>
      <w:proofErr w:type="spellEnd"/>
      <w:r w:rsidRPr="00E378D9">
        <w:rPr>
          <w:rFonts w:ascii="Times New Roman" w:eastAsia="Batang" w:hAnsi="Times New Roman" w:cs="Times New Roman"/>
          <w:sz w:val="24"/>
          <w:szCs w:val="24"/>
        </w:rPr>
        <w:t xml:space="preserve"> are now all served by electricity. Of the total households of </w:t>
      </w:r>
      <w:r w:rsidR="00942162">
        <w:rPr>
          <w:rFonts w:ascii="Times New Roman" w:eastAsia="Batang" w:hAnsi="Times New Roman" w:cs="Times New Roman"/>
          <w:sz w:val="24"/>
          <w:szCs w:val="24"/>
        </w:rPr>
        <w:t xml:space="preserve">19,056 or 77.48 </w:t>
      </w:r>
      <w:r w:rsidR="00492A44">
        <w:rPr>
          <w:rFonts w:ascii="Times New Roman" w:eastAsia="Batang" w:hAnsi="Times New Roman" w:cs="Times New Roman"/>
          <w:sz w:val="24"/>
          <w:szCs w:val="24"/>
        </w:rPr>
        <w:t>percent are served (as of 2014</w:t>
      </w:r>
      <w:r w:rsidRPr="00E378D9">
        <w:rPr>
          <w:rFonts w:ascii="Times New Roman" w:eastAsia="Batang" w:hAnsi="Times New Roman" w:cs="Times New Roman"/>
          <w:sz w:val="24"/>
          <w:szCs w:val="24"/>
        </w:rPr>
        <w:t xml:space="preserve">). Others depend on kerosene for lighting. </w:t>
      </w:r>
    </w:p>
    <w:p w:rsidR="002C4689" w:rsidRPr="00E378D9" w:rsidRDefault="00942162" w:rsidP="00CE409E">
      <w:pPr>
        <w:spacing w:after="0"/>
        <w:ind w:left="1440" w:firstLine="720"/>
        <w:jc w:val="center"/>
        <w:rPr>
          <w:rFonts w:ascii="Times New Roman" w:eastAsia="Batang" w:hAnsi="Times New Roman" w:cs="Times New Roman"/>
          <w:b/>
          <w:sz w:val="24"/>
          <w:szCs w:val="24"/>
        </w:rPr>
      </w:pPr>
      <w:r>
        <w:rPr>
          <w:rFonts w:ascii="Times New Roman" w:eastAsia="Batang" w:hAnsi="Times New Roman" w:cs="Times New Roman"/>
          <w:b/>
          <w:sz w:val="24"/>
          <w:szCs w:val="24"/>
        </w:rPr>
        <w:t>Table</w:t>
      </w:r>
      <w:r w:rsidR="00914AA7">
        <w:rPr>
          <w:rFonts w:ascii="Times New Roman" w:eastAsia="Batang" w:hAnsi="Times New Roman" w:cs="Times New Roman"/>
          <w:b/>
          <w:sz w:val="24"/>
          <w:szCs w:val="24"/>
        </w:rPr>
        <w:t xml:space="preserve"> 106</w:t>
      </w:r>
      <w:r w:rsidR="00D21D3F">
        <w:rPr>
          <w:rFonts w:ascii="Times New Roman" w:eastAsia="Batang" w:hAnsi="Times New Roman" w:cs="Times New Roman"/>
          <w:b/>
          <w:sz w:val="24"/>
          <w:szCs w:val="24"/>
        </w:rPr>
        <w:t xml:space="preserve">: </w:t>
      </w:r>
      <w:r w:rsidR="002C4689" w:rsidRPr="00E378D9">
        <w:rPr>
          <w:rFonts w:ascii="Times New Roman" w:eastAsia="Batang" w:hAnsi="Times New Roman" w:cs="Times New Roman"/>
          <w:b/>
          <w:sz w:val="24"/>
          <w:szCs w:val="24"/>
        </w:rPr>
        <w:t xml:space="preserve">Households Served </w:t>
      </w:r>
      <w:r w:rsidR="00D21D3F">
        <w:rPr>
          <w:rFonts w:ascii="Times New Roman" w:eastAsia="Batang" w:hAnsi="Times New Roman" w:cs="Times New Roman"/>
          <w:b/>
          <w:sz w:val="24"/>
          <w:szCs w:val="24"/>
        </w:rPr>
        <w:t xml:space="preserve">and </w:t>
      </w:r>
      <w:proofErr w:type="spellStart"/>
      <w:r w:rsidR="00D21D3F">
        <w:rPr>
          <w:rFonts w:ascii="Times New Roman" w:eastAsia="Batang" w:hAnsi="Times New Roman" w:cs="Times New Roman"/>
          <w:b/>
          <w:sz w:val="24"/>
          <w:szCs w:val="24"/>
        </w:rPr>
        <w:t>Unserved</w:t>
      </w:r>
      <w:proofErr w:type="spellEnd"/>
      <w:r w:rsidR="00D21D3F">
        <w:rPr>
          <w:rFonts w:ascii="Times New Roman" w:eastAsia="Batang" w:hAnsi="Times New Roman" w:cs="Times New Roman"/>
          <w:b/>
          <w:sz w:val="24"/>
          <w:szCs w:val="24"/>
        </w:rPr>
        <w:t xml:space="preserve"> by Electricity 2014</w:t>
      </w:r>
    </w:p>
    <w:tbl>
      <w:tblPr>
        <w:tblStyle w:val="TableGrid"/>
        <w:tblW w:w="3894" w:type="pct"/>
        <w:tblInd w:w="2235" w:type="dxa"/>
        <w:tblLayout w:type="fixed"/>
        <w:tblLook w:val="04A0" w:firstRow="1" w:lastRow="0" w:firstColumn="1" w:lastColumn="0" w:noHBand="0" w:noVBand="1"/>
      </w:tblPr>
      <w:tblGrid>
        <w:gridCol w:w="1562"/>
        <w:gridCol w:w="3219"/>
        <w:gridCol w:w="3246"/>
      </w:tblGrid>
      <w:tr w:rsidR="002C4689" w:rsidRPr="00E378D9" w:rsidTr="00CE409E">
        <w:trPr>
          <w:trHeight w:val="300"/>
        </w:trPr>
        <w:tc>
          <w:tcPr>
            <w:tcW w:w="973" w:type="pct"/>
            <w:noWrap/>
            <w:hideMark/>
          </w:tcPr>
          <w:p w:rsidR="002C4689" w:rsidRPr="00E378D9" w:rsidRDefault="002C4689" w:rsidP="00E61D77">
            <w:pPr>
              <w:spacing w:line="276" w:lineRule="auto"/>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2005" w:type="pct"/>
            <w:noWrap/>
            <w:hideMark/>
          </w:tcPr>
          <w:p w:rsidR="002C4689" w:rsidRPr="00E378D9" w:rsidRDefault="002C4689" w:rsidP="00E61D77">
            <w:pPr>
              <w:spacing w:line="276" w:lineRule="auto"/>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Number of Households</w:t>
            </w:r>
          </w:p>
        </w:tc>
        <w:tc>
          <w:tcPr>
            <w:tcW w:w="2022" w:type="pct"/>
            <w:noWrap/>
            <w:hideMark/>
          </w:tcPr>
          <w:p w:rsidR="002C4689" w:rsidRPr="00E378D9" w:rsidRDefault="002C4689" w:rsidP="00E61D77">
            <w:pPr>
              <w:spacing w:line="276" w:lineRule="auto"/>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Percentage</w:t>
            </w:r>
          </w:p>
        </w:tc>
      </w:tr>
      <w:tr w:rsidR="002C4689" w:rsidRPr="00E378D9" w:rsidTr="00CE409E">
        <w:trPr>
          <w:trHeight w:val="300"/>
        </w:trPr>
        <w:tc>
          <w:tcPr>
            <w:tcW w:w="973" w:type="pct"/>
            <w:noWrap/>
            <w:hideMark/>
          </w:tcPr>
          <w:p w:rsidR="002C4689" w:rsidRPr="00E378D9" w:rsidRDefault="002C4689" w:rsidP="00E61D77">
            <w:pPr>
              <w:spacing w:line="276" w:lineRule="auto"/>
              <w:rPr>
                <w:rFonts w:ascii="Times New Roman" w:eastAsia="Batang" w:hAnsi="Times New Roman" w:cs="Times New Roman"/>
                <w:sz w:val="24"/>
                <w:szCs w:val="24"/>
              </w:rPr>
            </w:pPr>
            <w:r w:rsidRPr="00E378D9">
              <w:rPr>
                <w:rFonts w:ascii="Times New Roman" w:eastAsia="Batang" w:hAnsi="Times New Roman" w:cs="Times New Roman"/>
                <w:sz w:val="24"/>
                <w:szCs w:val="24"/>
              </w:rPr>
              <w:t>Served</w:t>
            </w:r>
          </w:p>
        </w:tc>
        <w:tc>
          <w:tcPr>
            <w:tcW w:w="2005" w:type="pct"/>
            <w:noWrap/>
            <w:hideMark/>
          </w:tcPr>
          <w:p w:rsidR="002C4689" w:rsidRPr="00E378D9" w:rsidRDefault="00D21D3F" w:rsidP="00E61D77">
            <w:pPr>
              <w:spacing w:line="276"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16,159</w:t>
            </w:r>
          </w:p>
        </w:tc>
        <w:tc>
          <w:tcPr>
            <w:tcW w:w="2022" w:type="pct"/>
            <w:noWrap/>
            <w:hideMark/>
          </w:tcPr>
          <w:p w:rsidR="002C4689" w:rsidRPr="00E378D9" w:rsidRDefault="00D21D3F" w:rsidP="00E61D77">
            <w:pPr>
              <w:spacing w:line="276"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77.48</w:t>
            </w:r>
          </w:p>
        </w:tc>
      </w:tr>
      <w:tr w:rsidR="002C4689" w:rsidRPr="00E378D9" w:rsidTr="00CE409E">
        <w:trPr>
          <w:trHeight w:val="300"/>
        </w:trPr>
        <w:tc>
          <w:tcPr>
            <w:tcW w:w="973" w:type="pct"/>
            <w:noWrap/>
            <w:hideMark/>
          </w:tcPr>
          <w:p w:rsidR="002C4689" w:rsidRPr="00E378D9" w:rsidRDefault="002C4689" w:rsidP="00E61D77">
            <w:pPr>
              <w:spacing w:line="276" w:lineRule="auto"/>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Unserved</w:t>
            </w:r>
            <w:proofErr w:type="spellEnd"/>
          </w:p>
        </w:tc>
        <w:tc>
          <w:tcPr>
            <w:tcW w:w="2005" w:type="pct"/>
            <w:noWrap/>
            <w:hideMark/>
          </w:tcPr>
          <w:p w:rsidR="002C4689" w:rsidRPr="00E378D9" w:rsidRDefault="00D21D3F" w:rsidP="00E61D77">
            <w:pPr>
              <w:spacing w:line="276"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4,696</w:t>
            </w:r>
          </w:p>
        </w:tc>
        <w:tc>
          <w:tcPr>
            <w:tcW w:w="2022" w:type="pct"/>
            <w:noWrap/>
            <w:hideMark/>
          </w:tcPr>
          <w:p w:rsidR="002C4689" w:rsidRPr="00E378D9" w:rsidRDefault="00D21D3F" w:rsidP="00E61D77">
            <w:pPr>
              <w:spacing w:line="276"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22.52</w:t>
            </w:r>
          </w:p>
        </w:tc>
      </w:tr>
      <w:tr w:rsidR="002C4689" w:rsidRPr="00E378D9" w:rsidTr="00CE409E">
        <w:trPr>
          <w:trHeight w:val="300"/>
        </w:trPr>
        <w:tc>
          <w:tcPr>
            <w:tcW w:w="973" w:type="pct"/>
            <w:noWrap/>
            <w:hideMark/>
          </w:tcPr>
          <w:p w:rsidR="002C4689" w:rsidRPr="00E378D9" w:rsidRDefault="002C4689" w:rsidP="00E61D77">
            <w:pPr>
              <w:spacing w:line="276" w:lineRule="auto"/>
              <w:rPr>
                <w:rFonts w:ascii="Times New Roman" w:eastAsia="Batang" w:hAnsi="Times New Roman" w:cs="Times New Roman"/>
                <w:b/>
                <w:sz w:val="24"/>
                <w:szCs w:val="24"/>
              </w:rPr>
            </w:pPr>
            <w:r w:rsidRPr="00E378D9">
              <w:rPr>
                <w:rFonts w:ascii="Times New Roman" w:eastAsia="Batang" w:hAnsi="Times New Roman" w:cs="Times New Roman"/>
                <w:b/>
                <w:sz w:val="24"/>
                <w:szCs w:val="24"/>
              </w:rPr>
              <w:t>TOTAL</w:t>
            </w:r>
          </w:p>
        </w:tc>
        <w:tc>
          <w:tcPr>
            <w:tcW w:w="2005" w:type="pct"/>
            <w:noWrap/>
            <w:hideMark/>
          </w:tcPr>
          <w:p w:rsidR="002C4689" w:rsidRPr="00E378D9" w:rsidRDefault="00D21D3F" w:rsidP="00E61D77">
            <w:pPr>
              <w:spacing w:line="276"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20,855</w:t>
            </w:r>
          </w:p>
        </w:tc>
        <w:tc>
          <w:tcPr>
            <w:tcW w:w="2022" w:type="pct"/>
            <w:noWrap/>
            <w:hideMark/>
          </w:tcPr>
          <w:p w:rsidR="002C4689" w:rsidRPr="00E378D9" w:rsidRDefault="002C4689" w:rsidP="00E61D77">
            <w:pPr>
              <w:spacing w:line="276"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100.00</w:t>
            </w:r>
          </w:p>
        </w:tc>
      </w:tr>
    </w:tbl>
    <w:p w:rsidR="002C4689" w:rsidRPr="00D21D3F" w:rsidRDefault="002C4689" w:rsidP="00CE409E">
      <w:pPr>
        <w:spacing w:after="0"/>
        <w:ind w:left="1440" w:firstLine="720"/>
        <w:rPr>
          <w:rFonts w:ascii="Times New Roman" w:eastAsia="Batang" w:hAnsi="Times New Roman" w:cs="Times New Roman"/>
          <w:i/>
          <w:sz w:val="20"/>
          <w:szCs w:val="20"/>
        </w:rPr>
      </w:pPr>
      <w:r w:rsidRPr="00D21D3F">
        <w:rPr>
          <w:rFonts w:ascii="Times New Roman" w:eastAsia="Batang" w:hAnsi="Times New Roman" w:cs="Times New Roman"/>
          <w:i/>
          <w:sz w:val="20"/>
          <w:szCs w:val="20"/>
        </w:rPr>
        <w:t>Source: CENPELCO</w:t>
      </w:r>
      <w:r w:rsidR="00D21D3F" w:rsidRPr="00D21D3F">
        <w:rPr>
          <w:rFonts w:ascii="Times New Roman" w:eastAsia="Batang" w:hAnsi="Times New Roman" w:cs="Times New Roman"/>
          <w:i/>
          <w:sz w:val="20"/>
          <w:szCs w:val="20"/>
        </w:rPr>
        <w:t xml:space="preserve"> </w:t>
      </w:r>
      <w:proofErr w:type="spellStart"/>
      <w:r w:rsidR="00D21D3F" w:rsidRPr="00D21D3F">
        <w:rPr>
          <w:rFonts w:ascii="Times New Roman" w:eastAsia="Batang" w:hAnsi="Times New Roman" w:cs="Times New Roman"/>
          <w:i/>
          <w:sz w:val="20"/>
          <w:szCs w:val="20"/>
        </w:rPr>
        <w:t>Mangaldan</w:t>
      </w:r>
      <w:proofErr w:type="spellEnd"/>
    </w:p>
    <w:p w:rsidR="002C4689" w:rsidRPr="00E378D9" w:rsidRDefault="002C4689" w:rsidP="002C4689">
      <w:pPr>
        <w:ind w:left="360" w:firstLine="360"/>
        <w:jc w:val="both"/>
        <w:rPr>
          <w:rFonts w:ascii="Times New Roman" w:eastAsia="Batang" w:hAnsi="Times New Roman" w:cs="Times New Roman"/>
          <w:sz w:val="24"/>
          <w:szCs w:val="24"/>
        </w:rPr>
      </w:pPr>
    </w:p>
    <w:p w:rsidR="002C4689" w:rsidRPr="00D21D3F" w:rsidRDefault="002C4689" w:rsidP="003D6FE6">
      <w:pPr>
        <w:ind w:left="720" w:firstLine="720"/>
        <w:jc w:val="both"/>
        <w:rPr>
          <w:rFonts w:ascii="Times New Roman" w:eastAsia="Batang" w:hAnsi="Times New Roman" w:cs="Times New Roman"/>
          <w:sz w:val="24"/>
          <w:szCs w:val="24"/>
        </w:rPr>
      </w:pPr>
      <w:r w:rsidRPr="00D21D3F">
        <w:rPr>
          <w:rFonts w:ascii="Times New Roman" w:eastAsia="Batang" w:hAnsi="Times New Roman" w:cs="Times New Roman"/>
          <w:b/>
          <w:sz w:val="24"/>
          <w:szCs w:val="24"/>
        </w:rPr>
        <w:t>Number of Connections by Type of Users and Average Consumption</w:t>
      </w:r>
    </w:p>
    <w:p w:rsidR="002C4689" w:rsidRPr="00E869B0" w:rsidRDefault="002C4689" w:rsidP="001E780E">
      <w:pPr>
        <w:spacing w:line="360" w:lineRule="auto"/>
        <w:ind w:left="1440"/>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The </w:t>
      </w:r>
      <w:proofErr w:type="gramStart"/>
      <w:r>
        <w:rPr>
          <w:rFonts w:ascii="Times New Roman" w:eastAsia="Batang" w:hAnsi="Times New Roman" w:cs="Times New Roman"/>
          <w:sz w:val="24"/>
          <w:szCs w:val="24"/>
        </w:rPr>
        <w:t>types</w:t>
      </w:r>
      <w:proofErr w:type="gramEnd"/>
      <w:r>
        <w:rPr>
          <w:rFonts w:ascii="Times New Roman" w:eastAsia="Batang" w:hAnsi="Times New Roman" w:cs="Times New Roman"/>
          <w:sz w:val="24"/>
          <w:szCs w:val="24"/>
        </w:rPr>
        <w:t xml:space="preserve"> users of electric power services include residential, industrial, commercial, public/institutional, agricultural, street lights and other special lighting</w:t>
      </w:r>
      <w:r w:rsidRPr="00E378D9">
        <w:rPr>
          <w:rFonts w:ascii="Times New Roman" w:eastAsia="Batang" w:hAnsi="Times New Roman" w:cs="Times New Roman"/>
          <w:sz w:val="24"/>
          <w:szCs w:val="24"/>
        </w:rPr>
        <w:t xml:space="preserve">. </w:t>
      </w:r>
      <w:r>
        <w:rPr>
          <w:rFonts w:ascii="Times New Roman" w:eastAsia="Batang" w:hAnsi="Times New Roman" w:cs="Times New Roman"/>
          <w:sz w:val="24"/>
          <w:szCs w:val="24"/>
        </w:rPr>
        <w:t>Their average monthly consumption varies from their actual usage per month.</w:t>
      </w:r>
    </w:p>
    <w:p w:rsidR="002C4689" w:rsidRDefault="002C4689" w:rsidP="002C4689">
      <w:pPr>
        <w:spacing w:after="0"/>
        <w:jc w:val="center"/>
        <w:rPr>
          <w:rFonts w:ascii="Times New Roman" w:eastAsia="Batang" w:hAnsi="Times New Roman" w:cs="Times New Roman"/>
          <w:b/>
          <w:sz w:val="24"/>
          <w:szCs w:val="24"/>
        </w:rPr>
      </w:pPr>
    </w:p>
    <w:p w:rsidR="002C4689" w:rsidRPr="00E378D9" w:rsidRDefault="003D6FE6" w:rsidP="003D6FE6">
      <w:pPr>
        <w:spacing w:after="0"/>
        <w:ind w:left="720"/>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       </w:t>
      </w:r>
      <w:r w:rsidR="00CE409E">
        <w:rPr>
          <w:rFonts w:ascii="Times New Roman" w:eastAsia="Batang" w:hAnsi="Times New Roman" w:cs="Times New Roman"/>
          <w:b/>
          <w:sz w:val="24"/>
          <w:szCs w:val="24"/>
        </w:rPr>
        <w:tab/>
        <w:t xml:space="preserve">       </w:t>
      </w:r>
      <w:r w:rsidR="002C4689" w:rsidRPr="00E378D9">
        <w:rPr>
          <w:rFonts w:ascii="Times New Roman" w:eastAsia="Batang" w:hAnsi="Times New Roman" w:cs="Times New Roman"/>
          <w:b/>
          <w:sz w:val="24"/>
          <w:szCs w:val="24"/>
        </w:rPr>
        <w:t xml:space="preserve">Table </w:t>
      </w:r>
      <w:r w:rsidR="00914AA7">
        <w:rPr>
          <w:rFonts w:ascii="Times New Roman" w:eastAsia="Batang" w:hAnsi="Times New Roman" w:cs="Times New Roman"/>
          <w:b/>
          <w:sz w:val="24"/>
          <w:szCs w:val="24"/>
        </w:rPr>
        <w:t>107</w:t>
      </w:r>
      <w:r w:rsidR="00D21D3F">
        <w:rPr>
          <w:rFonts w:ascii="Times New Roman" w:eastAsia="Batang" w:hAnsi="Times New Roman" w:cs="Times New Roman"/>
          <w:b/>
          <w:sz w:val="24"/>
          <w:szCs w:val="24"/>
        </w:rPr>
        <w:t xml:space="preserve">: </w:t>
      </w:r>
      <w:r w:rsidR="002C4689" w:rsidRPr="00E378D9">
        <w:rPr>
          <w:rFonts w:ascii="Times New Roman" w:eastAsia="Batang" w:hAnsi="Times New Roman" w:cs="Times New Roman"/>
          <w:b/>
          <w:sz w:val="24"/>
          <w:szCs w:val="24"/>
        </w:rPr>
        <w:t xml:space="preserve">Number of Connections by Type of Users and Average Consumption </w:t>
      </w:r>
    </w:p>
    <w:tbl>
      <w:tblPr>
        <w:tblStyle w:val="TableGrid"/>
        <w:tblW w:w="4093" w:type="pct"/>
        <w:tblInd w:w="1809" w:type="dxa"/>
        <w:tblLook w:val="04A0" w:firstRow="1" w:lastRow="0" w:firstColumn="1" w:lastColumn="0" w:noHBand="0" w:noVBand="1"/>
      </w:tblPr>
      <w:tblGrid>
        <w:gridCol w:w="2715"/>
        <w:gridCol w:w="2644"/>
        <w:gridCol w:w="3078"/>
      </w:tblGrid>
      <w:tr w:rsidR="002C4689" w:rsidRPr="00E378D9" w:rsidTr="00CE409E">
        <w:trPr>
          <w:trHeight w:val="600"/>
          <w:tblHeader/>
        </w:trPr>
        <w:tc>
          <w:tcPr>
            <w:tcW w:w="1609" w:type="pct"/>
            <w:vAlign w:val="center"/>
            <w:hideMark/>
          </w:tcPr>
          <w:p w:rsidR="002C4689" w:rsidRPr="00E378D9" w:rsidRDefault="002C4689" w:rsidP="00D21D3F">
            <w:pPr>
              <w:contextualSpacing/>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Type of Connection</w:t>
            </w:r>
          </w:p>
        </w:tc>
        <w:tc>
          <w:tcPr>
            <w:tcW w:w="1567" w:type="pct"/>
            <w:vAlign w:val="center"/>
            <w:hideMark/>
          </w:tcPr>
          <w:p w:rsidR="002C4689" w:rsidRPr="00E378D9" w:rsidRDefault="002C4689" w:rsidP="00D21D3F">
            <w:pPr>
              <w:contextualSpacing/>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Number of Connections</w:t>
            </w:r>
          </w:p>
        </w:tc>
        <w:tc>
          <w:tcPr>
            <w:tcW w:w="1824" w:type="pct"/>
            <w:vAlign w:val="center"/>
            <w:hideMark/>
          </w:tcPr>
          <w:p w:rsidR="002C4689" w:rsidRPr="00E378D9" w:rsidRDefault="002C4689" w:rsidP="00D21D3F">
            <w:pPr>
              <w:contextualSpacing/>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Ave. Consumption (KHW/mo)</w:t>
            </w:r>
          </w:p>
        </w:tc>
      </w:tr>
      <w:tr w:rsidR="002C4689" w:rsidRPr="00E378D9" w:rsidTr="00CE409E">
        <w:trPr>
          <w:trHeight w:val="300"/>
        </w:trPr>
        <w:tc>
          <w:tcPr>
            <w:tcW w:w="1609" w:type="pct"/>
            <w:noWrap/>
            <w:hideMark/>
          </w:tcPr>
          <w:p w:rsidR="002C4689" w:rsidRPr="00E378D9" w:rsidRDefault="002C4689" w:rsidP="00D21D3F">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Residential</w:t>
            </w:r>
          </w:p>
        </w:tc>
        <w:tc>
          <w:tcPr>
            <w:tcW w:w="1567"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15,710</w:t>
            </w:r>
          </w:p>
        </w:tc>
        <w:tc>
          <w:tcPr>
            <w:tcW w:w="1824"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1,637,769</w:t>
            </w:r>
          </w:p>
        </w:tc>
      </w:tr>
      <w:tr w:rsidR="002C4689" w:rsidRPr="00E378D9" w:rsidTr="00CE409E">
        <w:trPr>
          <w:trHeight w:val="300"/>
        </w:trPr>
        <w:tc>
          <w:tcPr>
            <w:tcW w:w="1609" w:type="pct"/>
            <w:noWrap/>
            <w:hideMark/>
          </w:tcPr>
          <w:p w:rsidR="002C4689" w:rsidRPr="00E378D9" w:rsidRDefault="002C4689" w:rsidP="00D21D3F">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Industrial</w:t>
            </w:r>
          </w:p>
        </w:tc>
        <w:tc>
          <w:tcPr>
            <w:tcW w:w="1567"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23</w:t>
            </w:r>
          </w:p>
        </w:tc>
        <w:tc>
          <w:tcPr>
            <w:tcW w:w="1824"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45,558</w:t>
            </w:r>
          </w:p>
        </w:tc>
      </w:tr>
      <w:tr w:rsidR="002C4689" w:rsidRPr="00E378D9" w:rsidTr="00CE409E">
        <w:trPr>
          <w:trHeight w:val="300"/>
        </w:trPr>
        <w:tc>
          <w:tcPr>
            <w:tcW w:w="1609" w:type="pct"/>
            <w:noWrap/>
            <w:hideMark/>
          </w:tcPr>
          <w:p w:rsidR="002C4689" w:rsidRPr="00E378D9" w:rsidRDefault="002C4689" w:rsidP="00D21D3F">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Commercial</w:t>
            </w:r>
          </w:p>
        </w:tc>
        <w:tc>
          <w:tcPr>
            <w:tcW w:w="1567"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1,121</w:t>
            </w:r>
          </w:p>
        </w:tc>
        <w:tc>
          <w:tcPr>
            <w:tcW w:w="1824"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556,619</w:t>
            </w:r>
          </w:p>
        </w:tc>
      </w:tr>
      <w:tr w:rsidR="002C4689" w:rsidRPr="00E378D9" w:rsidTr="00CE409E">
        <w:trPr>
          <w:trHeight w:val="300"/>
        </w:trPr>
        <w:tc>
          <w:tcPr>
            <w:tcW w:w="1609" w:type="pct"/>
            <w:noWrap/>
            <w:hideMark/>
          </w:tcPr>
          <w:p w:rsidR="002C4689" w:rsidRPr="00E378D9" w:rsidRDefault="002C4689" w:rsidP="00D21D3F">
            <w:pPr>
              <w:contextualSpacing/>
              <w:rPr>
                <w:rFonts w:ascii="Times New Roman" w:eastAsia="Batang" w:hAnsi="Times New Roman" w:cs="Times New Roman"/>
                <w:sz w:val="24"/>
                <w:szCs w:val="24"/>
              </w:rPr>
            </w:pPr>
            <w:r w:rsidRPr="00E378D9">
              <w:rPr>
                <w:rFonts w:ascii="Times New Roman" w:eastAsia="Batang" w:hAnsi="Times New Roman" w:cs="Times New Roman"/>
                <w:sz w:val="24"/>
                <w:szCs w:val="24"/>
              </w:rPr>
              <w:t>Public/Institutional</w:t>
            </w:r>
          </w:p>
        </w:tc>
        <w:tc>
          <w:tcPr>
            <w:tcW w:w="1567"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148</w:t>
            </w:r>
          </w:p>
        </w:tc>
        <w:tc>
          <w:tcPr>
            <w:tcW w:w="1824"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170,178</w:t>
            </w:r>
          </w:p>
        </w:tc>
      </w:tr>
      <w:tr w:rsidR="002C4689" w:rsidRPr="00E378D9" w:rsidTr="00CE409E">
        <w:trPr>
          <w:trHeight w:val="300"/>
        </w:trPr>
        <w:tc>
          <w:tcPr>
            <w:tcW w:w="1609" w:type="pct"/>
            <w:noWrap/>
          </w:tcPr>
          <w:p w:rsidR="002C4689" w:rsidRPr="00E378D9" w:rsidRDefault="002C4689" w:rsidP="00D21D3F">
            <w:pPr>
              <w:contextualSpacing/>
              <w:rPr>
                <w:rFonts w:ascii="Times New Roman" w:eastAsia="Batang" w:hAnsi="Times New Roman" w:cs="Times New Roman"/>
                <w:sz w:val="24"/>
                <w:szCs w:val="24"/>
              </w:rPr>
            </w:pPr>
            <w:r>
              <w:rPr>
                <w:rFonts w:ascii="Times New Roman" w:eastAsia="Batang" w:hAnsi="Times New Roman" w:cs="Times New Roman"/>
                <w:sz w:val="24"/>
                <w:szCs w:val="24"/>
              </w:rPr>
              <w:t>Agricultural</w:t>
            </w:r>
          </w:p>
        </w:tc>
        <w:tc>
          <w:tcPr>
            <w:tcW w:w="1567"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0</w:t>
            </w:r>
          </w:p>
        </w:tc>
        <w:tc>
          <w:tcPr>
            <w:tcW w:w="1824"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7,212</w:t>
            </w:r>
          </w:p>
        </w:tc>
      </w:tr>
      <w:tr w:rsidR="002C4689" w:rsidRPr="00E378D9" w:rsidTr="00CE409E">
        <w:trPr>
          <w:trHeight w:val="300"/>
        </w:trPr>
        <w:tc>
          <w:tcPr>
            <w:tcW w:w="1609" w:type="pct"/>
            <w:noWrap/>
          </w:tcPr>
          <w:p w:rsidR="002C4689" w:rsidRPr="00E378D9" w:rsidRDefault="002C4689" w:rsidP="00D21D3F">
            <w:pPr>
              <w:contextualSpacing/>
              <w:rPr>
                <w:rFonts w:ascii="Times New Roman" w:eastAsia="Batang" w:hAnsi="Times New Roman" w:cs="Times New Roman"/>
                <w:sz w:val="24"/>
                <w:szCs w:val="24"/>
              </w:rPr>
            </w:pPr>
            <w:r>
              <w:rPr>
                <w:rFonts w:ascii="Times New Roman" w:eastAsia="Batang" w:hAnsi="Times New Roman" w:cs="Times New Roman"/>
                <w:sz w:val="24"/>
                <w:szCs w:val="24"/>
              </w:rPr>
              <w:t>Street Lights</w:t>
            </w:r>
          </w:p>
        </w:tc>
        <w:tc>
          <w:tcPr>
            <w:tcW w:w="1567"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13</w:t>
            </w:r>
          </w:p>
        </w:tc>
        <w:tc>
          <w:tcPr>
            <w:tcW w:w="1824"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5,395</w:t>
            </w:r>
          </w:p>
        </w:tc>
      </w:tr>
      <w:tr w:rsidR="002C4689" w:rsidRPr="00E378D9" w:rsidTr="00CE409E">
        <w:trPr>
          <w:trHeight w:val="300"/>
        </w:trPr>
        <w:tc>
          <w:tcPr>
            <w:tcW w:w="1609" w:type="pct"/>
            <w:noWrap/>
            <w:hideMark/>
          </w:tcPr>
          <w:p w:rsidR="002C4689" w:rsidRPr="00E378D9" w:rsidRDefault="002C4689" w:rsidP="00D21D3F">
            <w:pPr>
              <w:contextualSpacing/>
              <w:rPr>
                <w:rFonts w:ascii="Times New Roman" w:eastAsia="Batang" w:hAnsi="Times New Roman" w:cs="Times New Roman"/>
                <w:sz w:val="24"/>
                <w:szCs w:val="24"/>
              </w:rPr>
            </w:pPr>
            <w:r>
              <w:rPr>
                <w:rFonts w:ascii="Times New Roman" w:eastAsia="Batang" w:hAnsi="Times New Roman" w:cs="Times New Roman"/>
                <w:sz w:val="24"/>
                <w:szCs w:val="24"/>
              </w:rPr>
              <w:t>Special Lighting</w:t>
            </w:r>
          </w:p>
        </w:tc>
        <w:tc>
          <w:tcPr>
            <w:tcW w:w="1567"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18</w:t>
            </w:r>
          </w:p>
        </w:tc>
        <w:tc>
          <w:tcPr>
            <w:tcW w:w="1824"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2,422,730</w:t>
            </w:r>
          </w:p>
        </w:tc>
      </w:tr>
      <w:tr w:rsidR="002C4689" w:rsidRPr="00E378D9" w:rsidTr="00CE409E">
        <w:trPr>
          <w:trHeight w:val="300"/>
        </w:trPr>
        <w:tc>
          <w:tcPr>
            <w:tcW w:w="1609" w:type="pct"/>
            <w:noWrap/>
            <w:hideMark/>
          </w:tcPr>
          <w:p w:rsidR="002C4689" w:rsidRPr="00E378D9" w:rsidRDefault="002C4689" w:rsidP="00D21D3F">
            <w:pPr>
              <w:contextualSpacing/>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TOTAL</w:t>
            </w:r>
          </w:p>
        </w:tc>
        <w:tc>
          <w:tcPr>
            <w:tcW w:w="1567"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17,033</w:t>
            </w:r>
          </w:p>
        </w:tc>
        <w:tc>
          <w:tcPr>
            <w:tcW w:w="1824" w:type="pct"/>
            <w:noWrap/>
          </w:tcPr>
          <w:p w:rsidR="002C4689" w:rsidRPr="00E378D9" w:rsidRDefault="002C4689" w:rsidP="00D21D3F">
            <w:pPr>
              <w:contextualSpacing/>
              <w:jc w:val="center"/>
              <w:rPr>
                <w:rFonts w:ascii="Times New Roman" w:eastAsia="Batang" w:hAnsi="Times New Roman" w:cs="Times New Roman"/>
                <w:sz w:val="24"/>
                <w:szCs w:val="24"/>
              </w:rPr>
            </w:pPr>
            <w:r>
              <w:rPr>
                <w:rFonts w:ascii="Times New Roman" w:eastAsia="Batang" w:hAnsi="Times New Roman" w:cs="Times New Roman"/>
                <w:sz w:val="24"/>
                <w:szCs w:val="24"/>
              </w:rPr>
              <w:t>4,845,461</w:t>
            </w:r>
          </w:p>
        </w:tc>
      </w:tr>
    </w:tbl>
    <w:p w:rsidR="002C4689" w:rsidRPr="00D21D3F" w:rsidRDefault="002C4689" w:rsidP="002C4689">
      <w:pPr>
        <w:spacing w:after="0"/>
        <w:ind w:firstLine="630"/>
        <w:rPr>
          <w:rFonts w:ascii="Times New Roman" w:eastAsia="Batang" w:hAnsi="Times New Roman" w:cs="Times New Roman"/>
          <w:i/>
          <w:sz w:val="20"/>
          <w:szCs w:val="20"/>
        </w:rPr>
      </w:pPr>
      <w:r w:rsidRPr="00D21D3F">
        <w:rPr>
          <w:rFonts w:ascii="Times New Roman" w:eastAsia="Batang" w:hAnsi="Times New Roman" w:cs="Times New Roman"/>
          <w:i/>
          <w:sz w:val="20"/>
          <w:szCs w:val="20"/>
        </w:rPr>
        <w:t xml:space="preserve"> </w:t>
      </w:r>
      <w:r w:rsidR="00D21D3F" w:rsidRPr="00D21D3F">
        <w:rPr>
          <w:rFonts w:ascii="Times New Roman" w:eastAsia="Batang" w:hAnsi="Times New Roman" w:cs="Times New Roman"/>
          <w:i/>
          <w:sz w:val="20"/>
          <w:szCs w:val="20"/>
        </w:rPr>
        <w:tab/>
        <w:t xml:space="preserve">      </w:t>
      </w:r>
      <w:r w:rsidR="003D6FE6">
        <w:rPr>
          <w:rFonts w:ascii="Times New Roman" w:eastAsia="Batang" w:hAnsi="Times New Roman" w:cs="Times New Roman"/>
          <w:i/>
          <w:sz w:val="20"/>
          <w:szCs w:val="20"/>
        </w:rPr>
        <w:tab/>
      </w:r>
      <w:r w:rsidR="00D21D3F" w:rsidRPr="00D21D3F">
        <w:rPr>
          <w:rFonts w:ascii="Times New Roman" w:eastAsia="Batang" w:hAnsi="Times New Roman" w:cs="Times New Roman"/>
          <w:i/>
          <w:sz w:val="20"/>
          <w:szCs w:val="20"/>
        </w:rPr>
        <w:t xml:space="preserve"> </w:t>
      </w:r>
      <w:r w:rsidRPr="00D21D3F">
        <w:rPr>
          <w:rFonts w:ascii="Times New Roman" w:eastAsia="Batang" w:hAnsi="Times New Roman" w:cs="Times New Roman"/>
          <w:i/>
          <w:sz w:val="20"/>
          <w:szCs w:val="20"/>
        </w:rPr>
        <w:t>Source: CENPELCO</w:t>
      </w:r>
      <w:r w:rsidR="00D21D3F" w:rsidRPr="00D21D3F">
        <w:rPr>
          <w:rFonts w:ascii="Times New Roman" w:eastAsia="Batang" w:hAnsi="Times New Roman" w:cs="Times New Roman"/>
          <w:i/>
          <w:sz w:val="20"/>
          <w:szCs w:val="20"/>
        </w:rPr>
        <w:t xml:space="preserve"> </w:t>
      </w:r>
      <w:proofErr w:type="spellStart"/>
      <w:r w:rsidR="00D21D3F" w:rsidRPr="00D21D3F">
        <w:rPr>
          <w:rFonts w:ascii="Times New Roman" w:eastAsia="Batang" w:hAnsi="Times New Roman" w:cs="Times New Roman"/>
          <w:i/>
          <w:sz w:val="20"/>
          <w:szCs w:val="20"/>
        </w:rPr>
        <w:t>Mangaldan</w:t>
      </w:r>
      <w:proofErr w:type="spellEnd"/>
      <w:r w:rsidR="00547D96">
        <w:rPr>
          <w:rFonts w:ascii="Times New Roman" w:eastAsia="Batang" w:hAnsi="Times New Roman" w:cs="Times New Roman"/>
          <w:i/>
          <w:sz w:val="20"/>
          <w:szCs w:val="20"/>
        </w:rPr>
        <w:t>, 2014</w:t>
      </w:r>
    </w:p>
    <w:p w:rsidR="002C4689" w:rsidRPr="00E378D9" w:rsidRDefault="002C4689" w:rsidP="002C4689">
      <w:pPr>
        <w:ind w:left="360" w:firstLine="360"/>
        <w:jc w:val="both"/>
        <w:rPr>
          <w:rFonts w:ascii="Times New Roman" w:eastAsia="Batang" w:hAnsi="Times New Roman" w:cs="Times New Roman"/>
          <w:sz w:val="24"/>
          <w:szCs w:val="24"/>
        </w:rPr>
      </w:pPr>
    </w:p>
    <w:p w:rsidR="002C4689" w:rsidRPr="00E378D9" w:rsidRDefault="002C4689" w:rsidP="003D6FE6">
      <w:pPr>
        <w:spacing w:line="360" w:lineRule="auto"/>
        <w:ind w:left="144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For lighting, majority of the households utilize electricity </w:t>
      </w:r>
      <w:r w:rsidR="00547D96">
        <w:rPr>
          <w:rFonts w:ascii="Times New Roman" w:eastAsia="Batang" w:hAnsi="Times New Roman" w:cs="Times New Roman"/>
          <w:sz w:val="24"/>
          <w:szCs w:val="24"/>
        </w:rPr>
        <w:t>77.48</w:t>
      </w:r>
      <w:r w:rsidRPr="00E378D9">
        <w:rPr>
          <w:rFonts w:ascii="Times New Roman" w:eastAsia="Batang" w:hAnsi="Times New Roman" w:cs="Times New Roman"/>
          <w:sz w:val="24"/>
          <w:szCs w:val="24"/>
        </w:rPr>
        <w:t xml:space="preserve"> percent of the total households use electricity, </w:t>
      </w:r>
      <w:r w:rsidR="00547D96">
        <w:rPr>
          <w:rFonts w:ascii="Times New Roman" w:eastAsia="Batang" w:hAnsi="Times New Roman" w:cs="Times New Roman"/>
          <w:sz w:val="24"/>
          <w:szCs w:val="24"/>
        </w:rPr>
        <w:t xml:space="preserve">22.52 percent use kerosene and </w:t>
      </w:r>
      <w:r w:rsidRPr="00E378D9">
        <w:rPr>
          <w:rFonts w:ascii="Times New Roman" w:eastAsia="Batang" w:hAnsi="Times New Roman" w:cs="Times New Roman"/>
          <w:sz w:val="24"/>
          <w:szCs w:val="24"/>
        </w:rPr>
        <w:t>LPG</w:t>
      </w:r>
      <w:r w:rsidR="00547D96">
        <w:rPr>
          <w:rFonts w:ascii="Times New Roman" w:eastAsia="Batang" w:hAnsi="Times New Roman" w:cs="Times New Roman"/>
          <w:sz w:val="24"/>
          <w:szCs w:val="24"/>
        </w:rPr>
        <w:t xml:space="preserve"> </w:t>
      </w:r>
      <w:r>
        <w:rPr>
          <w:rFonts w:ascii="Times New Roman" w:eastAsia="Batang" w:hAnsi="Times New Roman" w:cs="Times New Roman"/>
          <w:sz w:val="24"/>
          <w:szCs w:val="24"/>
        </w:rPr>
        <w:t>(</w:t>
      </w:r>
      <w:r w:rsidR="00547D96">
        <w:rPr>
          <w:rFonts w:ascii="Times New Roman" w:eastAsia="Batang" w:hAnsi="Times New Roman" w:cs="Times New Roman"/>
          <w:sz w:val="24"/>
          <w:szCs w:val="24"/>
        </w:rPr>
        <w:t>DOH Data</w:t>
      </w:r>
      <w:r w:rsidRPr="00E378D9">
        <w:rPr>
          <w:rFonts w:ascii="Times New Roman" w:eastAsia="Batang" w:hAnsi="Times New Roman" w:cs="Times New Roman"/>
          <w:sz w:val="24"/>
          <w:szCs w:val="24"/>
        </w:rPr>
        <w:t xml:space="preserve">). But for those households which do not have electricity connections, kerosene is the alternative source. </w:t>
      </w:r>
      <w:proofErr w:type="gramStart"/>
      <w:r w:rsidRPr="00E378D9">
        <w:rPr>
          <w:rFonts w:ascii="Times New Roman" w:eastAsia="Batang" w:hAnsi="Times New Roman" w:cs="Times New Roman"/>
          <w:sz w:val="24"/>
          <w:szCs w:val="24"/>
        </w:rPr>
        <w:t>For cooking purposes LPG, followed by wood and charcoal.</w:t>
      </w:r>
      <w:proofErr w:type="gramEnd"/>
    </w:p>
    <w:p w:rsidR="008064AD" w:rsidRDefault="008064AD" w:rsidP="002C4689">
      <w:pPr>
        <w:spacing w:line="360" w:lineRule="auto"/>
        <w:ind w:left="360"/>
        <w:rPr>
          <w:rFonts w:ascii="Times New Roman" w:eastAsia="Batang" w:hAnsi="Times New Roman" w:cs="Times New Roman"/>
          <w:b/>
          <w:sz w:val="24"/>
          <w:szCs w:val="24"/>
        </w:rPr>
      </w:pPr>
    </w:p>
    <w:p w:rsidR="00CB26BA" w:rsidRDefault="00CB26BA" w:rsidP="002C4689">
      <w:pPr>
        <w:spacing w:line="360" w:lineRule="auto"/>
        <w:ind w:left="360"/>
        <w:rPr>
          <w:rFonts w:ascii="Times New Roman" w:eastAsia="Batang" w:hAnsi="Times New Roman" w:cs="Times New Roman"/>
          <w:b/>
          <w:sz w:val="24"/>
          <w:szCs w:val="24"/>
        </w:rPr>
      </w:pPr>
    </w:p>
    <w:p w:rsidR="002C4689" w:rsidRPr="00E378D9" w:rsidRDefault="002C4689" w:rsidP="003D6FE6">
      <w:pPr>
        <w:spacing w:line="360" w:lineRule="auto"/>
        <w:ind w:left="1080" w:firstLine="360"/>
        <w:rPr>
          <w:rFonts w:ascii="Times New Roman" w:eastAsia="Batang" w:hAnsi="Times New Roman" w:cs="Times New Roman"/>
          <w:b/>
          <w:sz w:val="24"/>
          <w:szCs w:val="24"/>
        </w:rPr>
      </w:pPr>
      <w:r w:rsidRPr="00E378D9">
        <w:rPr>
          <w:rFonts w:ascii="Times New Roman" w:eastAsia="Batang" w:hAnsi="Times New Roman" w:cs="Times New Roman"/>
          <w:b/>
          <w:sz w:val="24"/>
          <w:szCs w:val="24"/>
        </w:rPr>
        <w:lastRenderedPageBreak/>
        <w:t>Power Interruptions</w:t>
      </w:r>
    </w:p>
    <w:p w:rsidR="002C4689" w:rsidRPr="00E378D9" w:rsidRDefault="002C4689" w:rsidP="003D6FE6">
      <w:pPr>
        <w:spacing w:line="360" w:lineRule="auto"/>
        <w:ind w:left="1440"/>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Power supply is on a 24-hour basis. Only when there are damages on electric lines and transformers and only during storms do power interruptions occur. For minor damages, </w:t>
      </w:r>
      <w:proofErr w:type="gramStart"/>
      <w:r w:rsidRPr="00E378D9">
        <w:rPr>
          <w:rFonts w:ascii="Times New Roman" w:eastAsia="Batang" w:hAnsi="Times New Roman" w:cs="Times New Roman"/>
          <w:sz w:val="24"/>
          <w:szCs w:val="24"/>
        </w:rPr>
        <w:t>power interruptions lasts</w:t>
      </w:r>
      <w:proofErr w:type="gramEnd"/>
      <w:r w:rsidRPr="00E378D9">
        <w:rPr>
          <w:rFonts w:ascii="Times New Roman" w:eastAsia="Batang" w:hAnsi="Times New Roman" w:cs="Times New Roman"/>
          <w:sz w:val="24"/>
          <w:szCs w:val="24"/>
        </w:rPr>
        <w:t xml:space="preserve"> for about 1-3 hours.</w:t>
      </w:r>
    </w:p>
    <w:p w:rsidR="008064AD" w:rsidRDefault="008064AD" w:rsidP="002C4689">
      <w:pPr>
        <w:ind w:left="360"/>
        <w:rPr>
          <w:rFonts w:ascii="Times New Roman" w:eastAsia="Batang" w:hAnsi="Times New Roman" w:cs="Times New Roman"/>
          <w:b/>
          <w:sz w:val="24"/>
          <w:szCs w:val="24"/>
        </w:rPr>
      </w:pPr>
    </w:p>
    <w:p w:rsidR="002C4689" w:rsidRPr="00E378D9" w:rsidRDefault="002C4689" w:rsidP="003D6FE6">
      <w:pPr>
        <w:ind w:left="1440"/>
        <w:rPr>
          <w:rFonts w:ascii="Times New Roman" w:eastAsia="Batang" w:hAnsi="Times New Roman" w:cs="Times New Roman"/>
          <w:b/>
          <w:sz w:val="24"/>
          <w:szCs w:val="24"/>
        </w:rPr>
      </w:pPr>
      <w:r>
        <w:rPr>
          <w:rFonts w:ascii="Times New Roman" w:eastAsia="Batang" w:hAnsi="Times New Roman" w:cs="Times New Roman"/>
          <w:b/>
          <w:sz w:val="24"/>
          <w:szCs w:val="24"/>
        </w:rPr>
        <w:t>Power Consumption</w:t>
      </w:r>
    </w:p>
    <w:p w:rsidR="002C4689" w:rsidRPr="00A96661" w:rsidRDefault="002C4689" w:rsidP="003D6FE6">
      <w:pPr>
        <w:spacing w:line="360" w:lineRule="auto"/>
        <w:ind w:left="1440"/>
        <w:jc w:val="both"/>
        <w:rPr>
          <w:rFonts w:ascii="Times New Roman" w:eastAsia="Batang" w:hAnsi="Times New Roman" w:cs="Times New Roman"/>
          <w:sz w:val="24"/>
          <w:szCs w:val="24"/>
        </w:rPr>
      </w:pPr>
      <w:r w:rsidRPr="00A96661">
        <w:rPr>
          <w:rFonts w:ascii="Times New Roman" w:eastAsia="Batang" w:hAnsi="Times New Roman" w:cs="Times New Roman"/>
          <w:sz w:val="24"/>
          <w:szCs w:val="24"/>
        </w:rPr>
        <w:t>Households served have an average consumption of 1637,769 KWH/ month; whereas, commercial and industrial consumers have an average of 602,177 KWH/ month; institutional has 170,178 KWH/month; agricultural has 7,212 KWH/month; streetlights have 5,395 KWH/ month and the special lighting has 2,422,730 KWH/month.</w:t>
      </w:r>
    </w:p>
    <w:p w:rsidR="008064AD" w:rsidRDefault="008064AD" w:rsidP="002C4689">
      <w:pPr>
        <w:spacing w:line="360" w:lineRule="auto"/>
        <w:ind w:left="360"/>
        <w:jc w:val="both"/>
        <w:rPr>
          <w:rFonts w:ascii="Times New Roman" w:eastAsia="Batang" w:hAnsi="Times New Roman" w:cs="Times New Roman"/>
          <w:b/>
          <w:sz w:val="24"/>
          <w:szCs w:val="24"/>
        </w:rPr>
      </w:pPr>
    </w:p>
    <w:p w:rsidR="002C4689" w:rsidRPr="00E378D9" w:rsidRDefault="002C4689" w:rsidP="003D6FE6">
      <w:pPr>
        <w:spacing w:line="360" w:lineRule="auto"/>
        <w:ind w:left="1080" w:firstLine="360"/>
        <w:jc w:val="both"/>
        <w:rPr>
          <w:rFonts w:ascii="Times New Roman" w:eastAsia="Batang" w:hAnsi="Times New Roman" w:cs="Times New Roman"/>
          <w:b/>
          <w:sz w:val="24"/>
          <w:szCs w:val="24"/>
        </w:rPr>
      </w:pPr>
      <w:r w:rsidRPr="00E378D9">
        <w:rPr>
          <w:rFonts w:ascii="Times New Roman" w:eastAsia="Batang" w:hAnsi="Times New Roman" w:cs="Times New Roman"/>
          <w:b/>
          <w:sz w:val="24"/>
          <w:szCs w:val="24"/>
        </w:rPr>
        <w:t>Projected Needs</w:t>
      </w:r>
    </w:p>
    <w:p w:rsidR="002C4689" w:rsidRPr="00E378D9" w:rsidRDefault="002C4689" w:rsidP="003D6FE6">
      <w:pPr>
        <w:spacing w:line="360" w:lineRule="auto"/>
        <w:ind w:left="144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The quality of electric services supports and complements the economic activities of the municipality. Thus, expansion services are needed in order to provide electricity particularly in rural areas where installation of electrical post is difficult.</w:t>
      </w:r>
    </w:p>
    <w:p w:rsidR="003D6FE6" w:rsidRDefault="002C4689" w:rsidP="003D6FE6">
      <w:pPr>
        <w:spacing w:line="360" w:lineRule="auto"/>
        <w:ind w:left="1440"/>
        <w:jc w:val="both"/>
        <w:rPr>
          <w:rFonts w:ascii="Times New Roman" w:eastAsia="Batang" w:hAnsi="Times New Roman" w:cs="Times New Roman"/>
          <w:sz w:val="24"/>
          <w:szCs w:val="24"/>
        </w:rPr>
      </w:pPr>
      <w:r>
        <w:rPr>
          <w:rFonts w:ascii="Times New Roman" w:eastAsia="Batang" w:hAnsi="Times New Roman" w:cs="Times New Roman"/>
          <w:sz w:val="24"/>
          <w:szCs w:val="24"/>
        </w:rPr>
        <w:t>CENPELCO</w:t>
      </w:r>
      <w:r w:rsidRPr="00E378D9">
        <w:rPr>
          <w:rFonts w:ascii="Times New Roman" w:eastAsia="Batang" w:hAnsi="Times New Roman" w:cs="Times New Roman"/>
          <w:sz w:val="24"/>
          <w:szCs w:val="24"/>
        </w:rPr>
        <w:t xml:space="preserve"> must reduce its rates in electrical connection in order for the poor residents to afford </w:t>
      </w:r>
      <w:r>
        <w:rPr>
          <w:rFonts w:ascii="Times New Roman" w:eastAsia="Batang" w:hAnsi="Times New Roman" w:cs="Times New Roman"/>
          <w:sz w:val="24"/>
          <w:szCs w:val="24"/>
        </w:rPr>
        <w:t>CENPELCO</w:t>
      </w:r>
      <w:r w:rsidRPr="00E378D9">
        <w:rPr>
          <w:rFonts w:ascii="Times New Roman" w:eastAsia="Batang" w:hAnsi="Times New Roman" w:cs="Times New Roman"/>
          <w:sz w:val="24"/>
          <w:szCs w:val="24"/>
        </w:rPr>
        <w:t xml:space="preserve"> electric services. For remote areas, high cost of installati</w:t>
      </w:r>
      <w:r>
        <w:rPr>
          <w:rFonts w:ascii="Times New Roman" w:eastAsia="Batang" w:hAnsi="Times New Roman" w:cs="Times New Roman"/>
          <w:sz w:val="24"/>
          <w:szCs w:val="24"/>
        </w:rPr>
        <w:t>on is the major problem. Thus, CENPELCO</w:t>
      </w:r>
      <w:r w:rsidRPr="00E378D9">
        <w:rPr>
          <w:rFonts w:ascii="Times New Roman" w:eastAsia="Batang" w:hAnsi="Times New Roman" w:cs="Times New Roman"/>
          <w:sz w:val="24"/>
          <w:szCs w:val="24"/>
        </w:rPr>
        <w:t xml:space="preserve"> must extend programs and solutions that would cater to this problem. Maintenance and monitoring of facilities must be done regularl</w:t>
      </w:r>
      <w:r>
        <w:rPr>
          <w:rFonts w:ascii="Times New Roman" w:eastAsia="Batang" w:hAnsi="Times New Roman" w:cs="Times New Roman"/>
          <w:sz w:val="24"/>
          <w:szCs w:val="24"/>
        </w:rPr>
        <w:t>y to avoid power interruptions.</w:t>
      </w:r>
    </w:p>
    <w:p w:rsidR="003D6FE6" w:rsidRDefault="003D6FE6">
      <w:pPr>
        <w:rPr>
          <w:rFonts w:ascii="Times New Roman" w:eastAsia="Batang" w:hAnsi="Times New Roman" w:cs="Times New Roman"/>
          <w:sz w:val="24"/>
          <w:szCs w:val="24"/>
        </w:rPr>
      </w:pPr>
      <w:r>
        <w:rPr>
          <w:rFonts w:ascii="Times New Roman" w:eastAsia="Batang" w:hAnsi="Times New Roman" w:cs="Times New Roman"/>
          <w:sz w:val="24"/>
          <w:szCs w:val="24"/>
        </w:rPr>
        <w:br w:type="page"/>
      </w:r>
    </w:p>
    <w:p w:rsidR="002C4689" w:rsidRPr="00D032BE" w:rsidRDefault="002C4689" w:rsidP="002C4689">
      <w:pPr>
        <w:pStyle w:val="ListParagraph"/>
        <w:spacing w:after="0"/>
        <w:contextualSpacing w:val="0"/>
        <w:jc w:val="center"/>
        <w:rPr>
          <w:rFonts w:ascii="Times New Roman" w:eastAsia="Batang" w:hAnsi="Times New Roman" w:cs="Times New Roman"/>
          <w:b/>
          <w:sz w:val="24"/>
          <w:szCs w:val="24"/>
        </w:rPr>
      </w:pPr>
      <w:r w:rsidRPr="00D032BE">
        <w:rPr>
          <w:rFonts w:ascii="Times New Roman" w:eastAsia="Batang" w:hAnsi="Times New Roman" w:cs="Times New Roman"/>
          <w:b/>
          <w:sz w:val="24"/>
          <w:szCs w:val="24"/>
        </w:rPr>
        <w:lastRenderedPageBreak/>
        <w:t xml:space="preserve">Table </w:t>
      </w:r>
      <w:r w:rsidR="00CE409E">
        <w:rPr>
          <w:rFonts w:ascii="Times New Roman" w:eastAsia="Batang" w:hAnsi="Times New Roman" w:cs="Times New Roman"/>
          <w:b/>
          <w:sz w:val="24"/>
          <w:szCs w:val="24"/>
        </w:rPr>
        <w:t>10</w:t>
      </w:r>
      <w:r w:rsidR="00914AA7">
        <w:rPr>
          <w:rFonts w:ascii="Times New Roman" w:eastAsia="Batang" w:hAnsi="Times New Roman" w:cs="Times New Roman"/>
          <w:b/>
          <w:sz w:val="24"/>
          <w:szCs w:val="24"/>
        </w:rPr>
        <w:t>8</w:t>
      </w:r>
      <w:r w:rsidR="00AD7570">
        <w:rPr>
          <w:rFonts w:ascii="Times New Roman" w:eastAsia="Batang" w:hAnsi="Times New Roman" w:cs="Times New Roman"/>
          <w:b/>
          <w:sz w:val="24"/>
          <w:szCs w:val="24"/>
        </w:rPr>
        <w:t xml:space="preserve">: </w:t>
      </w:r>
      <w:r w:rsidRPr="00D032BE">
        <w:rPr>
          <w:rFonts w:ascii="Times New Roman" w:eastAsia="Batang" w:hAnsi="Times New Roman" w:cs="Times New Roman"/>
          <w:b/>
          <w:sz w:val="24"/>
          <w:szCs w:val="24"/>
        </w:rPr>
        <w:t>Power Matrix</w:t>
      </w:r>
      <w:r w:rsidR="003D6FE6">
        <w:rPr>
          <w:rFonts w:ascii="Times New Roman" w:eastAsia="Batang" w:hAnsi="Times New Roman" w:cs="Times New Roman"/>
          <w:b/>
          <w:sz w:val="24"/>
          <w:szCs w:val="24"/>
        </w:rPr>
        <w:t xml:space="preserve"> </w:t>
      </w:r>
      <w:r w:rsidR="003D6FE6" w:rsidRPr="00D032BE">
        <w:rPr>
          <w:rFonts w:ascii="Times New Roman" w:eastAsia="Batang" w:hAnsi="Times New Roman" w:cs="Times New Roman"/>
          <w:b/>
          <w:sz w:val="24"/>
          <w:szCs w:val="24"/>
        </w:rPr>
        <w:t>Analysis</w:t>
      </w:r>
    </w:p>
    <w:tbl>
      <w:tblPr>
        <w:tblStyle w:val="TableGrid"/>
        <w:tblW w:w="9576" w:type="dxa"/>
        <w:tblInd w:w="1526" w:type="dxa"/>
        <w:tblLook w:val="04A0" w:firstRow="1" w:lastRow="0" w:firstColumn="1" w:lastColumn="0" w:noHBand="0" w:noVBand="1"/>
      </w:tblPr>
      <w:tblGrid>
        <w:gridCol w:w="3192"/>
        <w:gridCol w:w="3192"/>
        <w:gridCol w:w="3192"/>
      </w:tblGrid>
      <w:tr w:rsidR="002C4689" w:rsidTr="003D6FE6">
        <w:tc>
          <w:tcPr>
            <w:tcW w:w="3192" w:type="dxa"/>
            <w:vAlign w:val="center"/>
          </w:tcPr>
          <w:p w:rsidR="002C4689" w:rsidRDefault="002C4689" w:rsidP="00E61D77">
            <w:pPr>
              <w:spacing w:line="36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Problems/Issues/ Concerns</w:t>
            </w:r>
          </w:p>
        </w:tc>
        <w:tc>
          <w:tcPr>
            <w:tcW w:w="3192" w:type="dxa"/>
            <w:vAlign w:val="center"/>
          </w:tcPr>
          <w:p w:rsidR="002C4689" w:rsidRDefault="002C4689" w:rsidP="00E61D77">
            <w:pPr>
              <w:spacing w:line="36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Recommendations</w:t>
            </w:r>
          </w:p>
        </w:tc>
        <w:tc>
          <w:tcPr>
            <w:tcW w:w="3192" w:type="dxa"/>
            <w:vAlign w:val="center"/>
          </w:tcPr>
          <w:p w:rsidR="002C4689" w:rsidRDefault="002C4689" w:rsidP="00E61D77">
            <w:pPr>
              <w:spacing w:line="36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Policies/Strategies</w:t>
            </w:r>
          </w:p>
        </w:tc>
      </w:tr>
      <w:tr w:rsidR="002C4689" w:rsidTr="00DB0D83">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Assessment of transformer’s capacity- how many residential buildings can accommodate on each power transformer unit.</w:t>
            </w:r>
          </w:p>
        </w:tc>
        <w:tc>
          <w:tcPr>
            <w:tcW w:w="3192" w:type="dxa"/>
            <w:vAlign w:val="center"/>
          </w:tcPr>
          <w:p w:rsidR="002C4689" w:rsidRPr="00D032BE" w:rsidRDefault="002C4689" w:rsidP="002C4689">
            <w:pPr>
              <w:pStyle w:val="ListParagraph"/>
              <w:numPr>
                <w:ilvl w:val="0"/>
                <w:numId w:val="9"/>
              </w:numPr>
              <w:ind w:left="138" w:hanging="138"/>
              <w:rPr>
                <w:rFonts w:ascii="Times New Roman" w:eastAsia="Batang" w:hAnsi="Times New Roman" w:cs="Times New Roman"/>
                <w:sz w:val="24"/>
                <w:szCs w:val="24"/>
              </w:rPr>
            </w:pPr>
            <w:r w:rsidRPr="00D032BE">
              <w:rPr>
                <w:rFonts w:ascii="Times New Roman" w:eastAsia="Batang" w:hAnsi="Times New Roman" w:cs="Times New Roman"/>
                <w:sz w:val="24"/>
                <w:szCs w:val="24"/>
              </w:rPr>
              <w:t>Con</w:t>
            </w:r>
            <w:r>
              <w:rPr>
                <w:rFonts w:ascii="Times New Roman" w:eastAsia="Batang" w:hAnsi="Times New Roman" w:cs="Times New Roman"/>
                <w:sz w:val="24"/>
                <w:szCs w:val="24"/>
              </w:rPr>
              <w:t>sistent monitoring to avoid malfunctions of transformer and overloading.</w:t>
            </w:r>
          </w:p>
        </w:tc>
        <w:tc>
          <w:tcPr>
            <w:tcW w:w="3192" w:type="dxa"/>
            <w:vAlign w:val="center"/>
          </w:tcPr>
          <w:p w:rsidR="002C4689" w:rsidRPr="00D032BE" w:rsidRDefault="00DB0D83" w:rsidP="00DB0D83">
            <w:pPr>
              <w:jc w:val="center"/>
              <w:rPr>
                <w:rFonts w:ascii="Times New Roman" w:eastAsia="Batang" w:hAnsi="Times New Roman" w:cs="Times New Roman"/>
                <w:sz w:val="24"/>
                <w:szCs w:val="24"/>
              </w:rPr>
            </w:pPr>
            <w:bookmarkStart w:id="0" w:name="_GoBack"/>
            <w:bookmarkEnd w:id="0"/>
            <w:r>
              <w:rPr>
                <w:rFonts w:ascii="Times New Roman" w:eastAsia="Batang" w:hAnsi="Times New Roman" w:cs="Times New Roman"/>
                <w:sz w:val="24"/>
                <w:szCs w:val="24"/>
              </w:rPr>
              <w:t>-</w:t>
            </w:r>
          </w:p>
        </w:tc>
      </w:tr>
      <w:tr w:rsidR="002C4689" w:rsidTr="00DB0D83">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sidRPr="00D032BE">
              <w:rPr>
                <w:rFonts w:ascii="Times New Roman" w:eastAsia="Batang" w:hAnsi="Times New Roman" w:cs="Times New Roman"/>
                <w:sz w:val="24"/>
                <w:szCs w:val="24"/>
              </w:rPr>
              <w:t xml:space="preserve">Special consideration </w:t>
            </w:r>
            <w:r>
              <w:rPr>
                <w:rFonts w:ascii="Times New Roman" w:eastAsia="Batang" w:hAnsi="Times New Roman" w:cs="Times New Roman"/>
                <w:sz w:val="24"/>
                <w:szCs w:val="24"/>
              </w:rPr>
              <w:t>for existing residential building to have their own power connection even they don’t have building permit/electrical permit.</w:t>
            </w:r>
          </w:p>
        </w:tc>
        <w:tc>
          <w:tcPr>
            <w:tcW w:w="3192" w:type="dxa"/>
            <w:vAlign w:val="center"/>
          </w:tcPr>
          <w:p w:rsidR="002C4689" w:rsidRPr="00D032BE" w:rsidRDefault="002C4689" w:rsidP="002C4689">
            <w:pPr>
              <w:pStyle w:val="ListParagraph"/>
              <w:numPr>
                <w:ilvl w:val="0"/>
                <w:numId w:val="9"/>
              </w:numPr>
              <w:ind w:left="138" w:hanging="132"/>
              <w:rPr>
                <w:rFonts w:ascii="Times New Roman" w:eastAsia="Batang" w:hAnsi="Times New Roman" w:cs="Times New Roman"/>
                <w:sz w:val="24"/>
                <w:szCs w:val="24"/>
              </w:rPr>
            </w:pPr>
          </w:p>
        </w:tc>
        <w:tc>
          <w:tcPr>
            <w:tcW w:w="3192" w:type="dxa"/>
            <w:vAlign w:val="center"/>
          </w:tcPr>
          <w:p w:rsidR="002C4689" w:rsidRPr="00D032BE" w:rsidRDefault="002C4689" w:rsidP="00DB0D83">
            <w:pPr>
              <w:pStyle w:val="ListParagraph"/>
              <w:numPr>
                <w:ilvl w:val="0"/>
                <w:numId w:val="9"/>
              </w:numPr>
              <w:ind w:left="186" w:hanging="180"/>
              <w:jc w:val="center"/>
              <w:rPr>
                <w:rFonts w:ascii="Times New Roman" w:eastAsia="Batang" w:hAnsi="Times New Roman" w:cs="Times New Roman"/>
                <w:sz w:val="24"/>
                <w:szCs w:val="24"/>
              </w:rPr>
            </w:pPr>
          </w:p>
        </w:tc>
      </w:tr>
      <w:tr w:rsidR="002C4689" w:rsidTr="00DB0D83">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Electric posts and wirings</w:t>
            </w:r>
          </w:p>
        </w:tc>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Monitoring the standard set-up of electric posts and wirings.</w:t>
            </w:r>
          </w:p>
        </w:tc>
        <w:tc>
          <w:tcPr>
            <w:tcW w:w="3192" w:type="dxa"/>
            <w:vAlign w:val="center"/>
          </w:tcPr>
          <w:p w:rsidR="002C4689" w:rsidRPr="00D032BE" w:rsidRDefault="00DB0D83" w:rsidP="00DB0D83">
            <w:pPr>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r w:rsidR="002C4689" w:rsidTr="00DB0D83">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 xml:space="preserve">Excessive or high power rates and unexplained </w:t>
            </w:r>
          </w:p>
        </w:tc>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Power cost reduction and explanation of increased rates.</w:t>
            </w:r>
          </w:p>
        </w:tc>
        <w:tc>
          <w:tcPr>
            <w:tcW w:w="3192" w:type="dxa"/>
            <w:vAlign w:val="center"/>
          </w:tcPr>
          <w:p w:rsidR="002C4689" w:rsidRPr="00D032BE" w:rsidRDefault="00DB0D83" w:rsidP="00DB0D83">
            <w:pPr>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r w:rsidR="002C4689" w:rsidTr="00DB0D83">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Frequent power interruption</w:t>
            </w:r>
          </w:p>
        </w:tc>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 xml:space="preserve">Lessen power interruption </w:t>
            </w:r>
          </w:p>
        </w:tc>
        <w:tc>
          <w:tcPr>
            <w:tcW w:w="3192" w:type="dxa"/>
            <w:vAlign w:val="center"/>
          </w:tcPr>
          <w:p w:rsidR="002C4689" w:rsidRPr="00D032BE" w:rsidRDefault="00DB0D83" w:rsidP="00DB0D83">
            <w:pPr>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r w:rsidR="002C4689" w:rsidTr="00DB0D83">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Unannounced disconnection of service lines to residents.</w:t>
            </w:r>
          </w:p>
        </w:tc>
        <w:tc>
          <w:tcPr>
            <w:tcW w:w="3192" w:type="dxa"/>
            <w:vAlign w:val="center"/>
          </w:tcPr>
          <w:p w:rsidR="002C4689" w:rsidRPr="00D032BE" w:rsidRDefault="002C4689" w:rsidP="002C4689">
            <w:pPr>
              <w:pStyle w:val="ListParagraph"/>
              <w:numPr>
                <w:ilvl w:val="0"/>
                <w:numId w:val="9"/>
              </w:numPr>
              <w:ind w:left="180" w:hanging="180"/>
              <w:rPr>
                <w:rFonts w:ascii="Times New Roman" w:eastAsia="Batang" w:hAnsi="Times New Roman" w:cs="Times New Roman"/>
                <w:sz w:val="24"/>
                <w:szCs w:val="24"/>
              </w:rPr>
            </w:pPr>
            <w:r>
              <w:rPr>
                <w:rFonts w:ascii="Times New Roman" w:eastAsia="Batang" w:hAnsi="Times New Roman" w:cs="Times New Roman"/>
                <w:sz w:val="24"/>
                <w:szCs w:val="24"/>
              </w:rPr>
              <w:t>Distribute early notice disconnection.</w:t>
            </w:r>
          </w:p>
        </w:tc>
        <w:tc>
          <w:tcPr>
            <w:tcW w:w="3192" w:type="dxa"/>
            <w:vAlign w:val="center"/>
          </w:tcPr>
          <w:p w:rsidR="002C4689" w:rsidRPr="00D032BE" w:rsidRDefault="00DB0D83" w:rsidP="00DB0D83">
            <w:pPr>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bl>
    <w:p w:rsidR="008064AD" w:rsidRDefault="008064AD" w:rsidP="002C4689">
      <w:pPr>
        <w:spacing w:line="360" w:lineRule="auto"/>
        <w:rPr>
          <w:rFonts w:ascii="Times New Roman" w:eastAsia="Batang" w:hAnsi="Times New Roman" w:cs="Times New Roman"/>
          <w:b/>
          <w:sz w:val="24"/>
          <w:szCs w:val="24"/>
        </w:rPr>
      </w:pPr>
    </w:p>
    <w:p w:rsidR="002C4689" w:rsidRPr="00DA4AC3" w:rsidRDefault="002C4689" w:rsidP="00DA4AC3">
      <w:pPr>
        <w:rPr>
          <w:rFonts w:ascii="Times New Roman" w:eastAsia="Batang" w:hAnsi="Times New Roman" w:cs="Times New Roman"/>
          <w:b/>
          <w:sz w:val="24"/>
          <w:szCs w:val="24"/>
        </w:rPr>
      </w:pPr>
    </w:p>
    <w:p w:rsidR="002C4689" w:rsidRPr="004B1002" w:rsidRDefault="002C4689" w:rsidP="002C4689">
      <w:pPr>
        <w:spacing w:after="0"/>
        <w:jc w:val="center"/>
        <w:rPr>
          <w:rFonts w:ascii="Times New Roman" w:eastAsia="Batang" w:hAnsi="Times New Roman" w:cs="Times New Roman"/>
          <w:b/>
          <w:color w:val="FF0000"/>
          <w:sz w:val="24"/>
          <w:szCs w:val="24"/>
        </w:rPr>
      </w:pPr>
    </w:p>
    <w:p w:rsidR="00DA4AC3" w:rsidRDefault="00DA4AC3" w:rsidP="00DA4AC3">
      <w:pPr>
        <w:spacing w:after="0" w:line="360" w:lineRule="auto"/>
        <w:ind w:firstLine="720"/>
        <w:jc w:val="both"/>
        <w:rPr>
          <w:rFonts w:ascii="Times New Roman" w:eastAsia="Batang" w:hAnsi="Times New Roman" w:cs="Times New Roman"/>
          <w:color w:val="000000" w:themeColor="text1"/>
          <w:sz w:val="24"/>
          <w:szCs w:val="24"/>
        </w:rPr>
      </w:pPr>
    </w:p>
    <w:p w:rsidR="00586F3C" w:rsidRPr="00ED1F0B" w:rsidRDefault="00586F3C" w:rsidP="00ED1F0B">
      <w:pPr>
        <w:spacing w:after="0" w:line="360" w:lineRule="auto"/>
        <w:jc w:val="both"/>
        <w:rPr>
          <w:rFonts w:ascii="Times New Roman" w:hAnsi="Times New Roman" w:cs="Times New Roman"/>
          <w:sz w:val="24"/>
          <w:szCs w:val="24"/>
        </w:rPr>
        <w:sectPr w:rsidR="00586F3C" w:rsidRPr="00ED1F0B" w:rsidSect="002E0DC3">
          <w:headerReference w:type="default" r:id="rId10"/>
          <w:footerReference w:type="default" r:id="rId11"/>
          <w:headerReference w:type="first" r:id="rId12"/>
          <w:footerReference w:type="first" r:id="rId13"/>
          <w:pgSz w:w="12240" w:h="18720"/>
          <w:pgMar w:top="1440" w:right="1440" w:bottom="1440" w:left="709" w:header="720" w:footer="0" w:gutter="0"/>
          <w:pgNumType w:start="113"/>
          <w:cols w:space="720"/>
          <w:titlePg/>
          <w:docGrid w:linePitch="360"/>
        </w:sectPr>
      </w:pPr>
    </w:p>
    <w:p w:rsidR="00705699" w:rsidRPr="00ED1F0B" w:rsidRDefault="00705699" w:rsidP="00ED1F0B">
      <w:pPr>
        <w:spacing w:after="0" w:line="360" w:lineRule="auto"/>
        <w:jc w:val="both"/>
        <w:rPr>
          <w:rFonts w:ascii="Times New Roman" w:hAnsi="Times New Roman" w:cs="Times New Roman"/>
          <w:sz w:val="24"/>
          <w:szCs w:val="24"/>
        </w:rPr>
        <w:sectPr w:rsidR="00705699" w:rsidRPr="00ED1F0B" w:rsidSect="00705699">
          <w:footerReference w:type="default" r:id="rId14"/>
          <w:type w:val="continuous"/>
          <w:pgSz w:w="12240" w:h="18720"/>
          <w:pgMar w:top="1440" w:right="1440" w:bottom="1440" w:left="1440" w:header="720" w:footer="720" w:gutter="0"/>
          <w:cols w:space="720"/>
          <w:docGrid w:linePitch="360"/>
        </w:sectPr>
      </w:pPr>
    </w:p>
    <w:p w:rsidR="00705699" w:rsidRPr="00ED1F0B" w:rsidRDefault="00705699" w:rsidP="00ED1F0B">
      <w:pPr>
        <w:spacing w:after="0" w:line="360" w:lineRule="auto"/>
        <w:jc w:val="both"/>
        <w:rPr>
          <w:rFonts w:ascii="Times New Roman" w:hAnsi="Times New Roman" w:cs="Times New Roman"/>
          <w:sz w:val="24"/>
          <w:szCs w:val="24"/>
        </w:rPr>
        <w:sectPr w:rsidR="00705699" w:rsidRPr="00ED1F0B" w:rsidSect="00705699">
          <w:footerReference w:type="default" r:id="rId15"/>
          <w:type w:val="continuous"/>
          <w:pgSz w:w="12240" w:h="18720"/>
          <w:pgMar w:top="1440" w:right="1440" w:bottom="1440" w:left="1440" w:header="720" w:footer="720" w:gutter="0"/>
          <w:cols w:space="720"/>
          <w:docGrid w:linePitch="360"/>
        </w:sectPr>
      </w:pPr>
    </w:p>
    <w:p w:rsidR="002C4689" w:rsidRPr="005C4ADB" w:rsidRDefault="002C4689" w:rsidP="002C4689">
      <w:pPr>
        <w:spacing w:after="0" w:line="240" w:lineRule="auto"/>
        <w:rPr>
          <w:rFonts w:ascii="Times New Roman" w:hAnsi="Times New Roman" w:cs="Times New Roman"/>
          <w:b/>
          <w:sz w:val="52"/>
          <w:szCs w:val="24"/>
        </w:rPr>
      </w:pPr>
    </w:p>
    <w:sectPr w:rsidR="002C4689" w:rsidRPr="005C4ADB" w:rsidSect="00C60C09">
      <w:type w:val="continuous"/>
      <w:pgSz w:w="12240" w:h="1872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DA8" w:rsidRDefault="00022DA8" w:rsidP="005E15F7">
      <w:pPr>
        <w:spacing w:after="0" w:line="240" w:lineRule="auto"/>
      </w:pPr>
      <w:r>
        <w:separator/>
      </w:r>
    </w:p>
  </w:endnote>
  <w:endnote w:type="continuationSeparator" w:id="0">
    <w:p w:rsidR="00022DA8" w:rsidRDefault="00022DA8"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4"/>
      <w:gridCol w:w="9909"/>
      <w:gridCol w:w="994"/>
    </w:tblGrid>
    <w:tr w:rsidR="00A4463F" w:rsidRPr="00A4463F" w:rsidTr="00A4463F">
      <w:trPr>
        <w:trHeight w:hRule="exact" w:val="1137"/>
      </w:trPr>
      <w:tc>
        <w:tcPr>
          <w:tcW w:w="11" w:type="pct"/>
          <w:shd w:val="clear" w:color="auto" w:fill="D60093"/>
          <w:vAlign w:val="center"/>
        </w:tcPr>
        <w:p w:rsidR="003D6FE6" w:rsidRPr="00A4463F" w:rsidRDefault="003D6FE6" w:rsidP="00AA0121">
          <w:pPr>
            <w:pStyle w:val="Footer"/>
            <w:tabs>
              <w:tab w:val="clear" w:pos="4680"/>
              <w:tab w:val="clear" w:pos="9360"/>
            </w:tabs>
            <w:spacing w:before="40" w:after="40"/>
            <w:rPr>
              <w:color w:val="002060"/>
            </w:rPr>
          </w:pPr>
        </w:p>
      </w:tc>
      <w:tc>
        <w:tcPr>
          <w:tcW w:w="4534" w:type="pct"/>
          <w:shd w:val="clear" w:color="auto" w:fill="FFFF00"/>
          <w:vAlign w:val="center"/>
        </w:tcPr>
        <w:p w:rsidR="003D6FE6" w:rsidRPr="00A4463F" w:rsidRDefault="003D6FE6" w:rsidP="00AA0121">
          <w:pPr>
            <w:pStyle w:val="Footer"/>
            <w:tabs>
              <w:tab w:val="clear" w:pos="4680"/>
              <w:tab w:val="clear" w:pos="9360"/>
            </w:tabs>
            <w:spacing w:before="40" w:after="40"/>
            <w:ind w:left="144" w:right="144"/>
            <w:rPr>
              <w:rFonts w:ascii="Brush Script MT" w:hAnsi="Brush Script MT"/>
              <w:b/>
              <w:color w:val="002060"/>
              <w:sz w:val="2"/>
              <w:szCs w:val="28"/>
            </w:rPr>
          </w:pPr>
          <w:r w:rsidRPr="00A4463F">
            <w:rPr>
              <w:noProof/>
              <w:color w:val="002060"/>
              <w:lang w:eastAsia="en-PH"/>
            </w:rPr>
            <w:drawing>
              <wp:anchor distT="0" distB="0" distL="114300" distR="114300" simplePos="0" relativeHeight="251672576" behindDoc="0" locked="0" layoutInCell="1" allowOverlap="1" wp14:anchorId="320EDAFD" wp14:editId="7EF3FAD7">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3D6FE6" w:rsidRPr="00A4463F" w:rsidRDefault="003D6FE6"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3D6FE6" w:rsidRPr="00A4463F" w:rsidRDefault="003D6FE6" w:rsidP="00AA0121">
          <w:pPr>
            <w:pStyle w:val="Footer"/>
            <w:tabs>
              <w:tab w:val="clear" w:pos="4680"/>
              <w:tab w:val="clear" w:pos="9360"/>
            </w:tabs>
            <w:spacing w:before="40" w:after="40"/>
            <w:ind w:right="144" w:hanging="449"/>
            <w:rPr>
              <w:b/>
              <w:color w:val="002060"/>
              <w:sz w:val="28"/>
              <w:szCs w:val="28"/>
            </w:rPr>
          </w:pPr>
          <w:r w:rsidRPr="00A4463F">
            <w:rPr>
              <w:rFonts w:ascii="Brush Script MT" w:hAnsi="Brush Script MT"/>
              <w:b/>
              <w:color w:val="002060"/>
              <w:sz w:val="36"/>
              <w:szCs w:val="28"/>
            </w:rPr>
            <w:t xml:space="preserve">Ma           </w:t>
          </w:r>
          <w:proofErr w:type="spellStart"/>
          <w:r w:rsidRPr="00A4463F">
            <w:rPr>
              <w:rFonts w:ascii="Brush Script MT" w:hAnsi="Brush Script MT"/>
              <w:b/>
              <w:color w:val="002060"/>
              <w:sz w:val="36"/>
              <w:szCs w:val="28"/>
            </w:rPr>
            <w:t>Mangaldan</w:t>
          </w:r>
          <w:proofErr w:type="spellEnd"/>
          <w:r w:rsidRPr="00A4463F">
            <w:rPr>
              <w:rFonts w:ascii="Brush Script MT" w:hAnsi="Brush Script MT"/>
              <w:b/>
              <w:color w:val="002060"/>
              <w:sz w:val="36"/>
              <w:szCs w:val="28"/>
            </w:rPr>
            <w:t xml:space="preserve">, </w:t>
          </w:r>
          <w:proofErr w:type="spellStart"/>
          <w:r w:rsidRPr="00A4463F">
            <w:rPr>
              <w:rFonts w:ascii="Brush Script MT" w:hAnsi="Brush Script MT"/>
              <w:b/>
              <w:color w:val="002060"/>
              <w:sz w:val="36"/>
              <w:szCs w:val="28"/>
            </w:rPr>
            <w:t>Pangasinan</w:t>
          </w:r>
          <w:proofErr w:type="spellEnd"/>
          <w:r w:rsidRPr="00A4463F">
            <w:rPr>
              <w:rFonts w:ascii="Brush Script MT" w:hAnsi="Brush Script MT"/>
              <w:b/>
              <w:color w:val="002060"/>
              <w:sz w:val="36"/>
              <w:szCs w:val="28"/>
            </w:rPr>
            <w:t xml:space="preserve">   </w:t>
          </w:r>
          <w:r w:rsidRPr="00A4463F">
            <w:rPr>
              <w:rFonts w:ascii="Berlin Sans FB Demi" w:hAnsi="Berlin Sans FB Demi"/>
              <w:b/>
              <w:color w:val="002060"/>
              <w:sz w:val="28"/>
              <w:szCs w:val="28"/>
            </w:rPr>
            <w:t>VOLUME 2: SECTORAL STUDIES</w:t>
          </w:r>
        </w:p>
      </w:tc>
      <w:tc>
        <w:tcPr>
          <w:tcW w:w="455" w:type="pct"/>
          <w:shd w:val="clear" w:color="auto" w:fill="002060"/>
          <w:vAlign w:val="center"/>
        </w:tcPr>
        <w:p w:rsidR="003D6FE6" w:rsidRPr="00A4463F" w:rsidRDefault="003D6FE6"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A4463F">
            <w:rPr>
              <w:rFonts w:ascii="Berlin Sans FB Demi" w:hAnsi="Berlin Sans FB Demi"/>
              <w:color w:val="FFFFFF" w:themeColor="background1"/>
              <w:sz w:val="28"/>
              <w:szCs w:val="28"/>
            </w:rPr>
            <w:fldChar w:fldCharType="begin"/>
          </w:r>
          <w:r w:rsidRPr="00A4463F">
            <w:rPr>
              <w:rFonts w:ascii="Berlin Sans FB Demi" w:hAnsi="Berlin Sans FB Demi"/>
              <w:color w:val="FFFFFF" w:themeColor="background1"/>
              <w:sz w:val="28"/>
              <w:szCs w:val="28"/>
            </w:rPr>
            <w:instrText xml:space="preserve"> PAGE   \* MERGEFORMAT </w:instrText>
          </w:r>
          <w:r w:rsidRPr="00A4463F">
            <w:rPr>
              <w:rFonts w:ascii="Berlin Sans FB Demi" w:hAnsi="Berlin Sans FB Demi"/>
              <w:color w:val="FFFFFF" w:themeColor="background1"/>
              <w:sz w:val="28"/>
              <w:szCs w:val="28"/>
            </w:rPr>
            <w:fldChar w:fldCharType="separate"/>
          </w:r>
          <w:r w:rsidR="00DB0D83">
            <w:rPr>
              <w:rFonts w:ascii="Berlin Sans FB Demi" w:hAnsi="Berlin Sans FB Demi"/>
              <w:noProof/>
              <w:color w:val="FFFFFF" w:themeColor="background1"/>
              <w:sz w:val="28"/>
              <w:szCs w:val="28"/>
            </w:rPr>
            <w:t>115</w:t>
          </w:r>
          <w:r w:rsidRPr="00A4463F">
            <w:rPr>
              <w:rFonts w:ascii="Berlin Sans FB Demi" w:hAnsi="Berlin Sans FB Demi"/>
              <w:noProof/>
              <w:color w:val="FFFFFF" w:themeColor="background1"/>
              <w:sz w:val="28"/>
              <w:szCs w:val="28"/>
            </w:rPr>
            <w:fldChar w:fldCharType="end"/>
          </w:r>
        </w:p>
      </w:tc>
    </w:tr>
  </w:tbl>
  <w:p w:rsidR="003D6FE6" w:rsidRPr="00A4463F" w:rsidRDefault="003D6FE6" w:rsidP="003D6FE6">
    <w:pPr>
      <w:pStyle w:val="NoSpacing"/>
      <w:rPr>
        <w:color w:val="002060"/>
      </w:rPr>
    </w:pPr>
  </w:p>
  <w:p w:rsidR="000664ED" w:rsidRPr="00A4463F" w:rsidRDefault="000664ED" w:rsidP="003D6FE6">
    <w:pPr>
      <w:pStyle w:val="Footer"/>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4"/>
      <w:gridCol w:w="9909"/>
      <w:gridCol w:w="994"/>
    </w:tblGrid>
    <w:tr w:rsidR="00A4463F" w:rsidRPr="00A4463F" w:rsidTr="00A4463F">
      <w:trPr>
        <w:trHeight w:hRule="exact" w:val="1137"/>
      </w:trPr>
      <w:tc>
        <w:tcPr>
          <w:tcW w:w="11" w:type="pct"/>
          <w:shd w:val="clear" w:color="auto" w:fill="D60093"/>
          <w:vAlign w:val="center"/>
        </w:tcPr>
        <w:p w:rsidR="003D6FE6" w:rsidRPr="00A4463F" w:rsidRDefault="003D6FE6" w:rsidP="00AA0121">
          <w:pPr>
            <w:pStyle w:val="Footer"/>
            <w:tabs>
              <w:tab w:val="clear" w:pos="4680"/>
              <w:tab w:val="clear" w:pos="9360"/>
            </w:tabs>
            <w:spacing w:before="40" w:after="40"/>
            <w:rPr>
              <w:color w:val="002060"/>
            </w:rPr>
          </w:pPr>
        </w:p>
      </w:tc>
      <w:tc>
        <w:tcPr>
          <w:tcW w:w="4534" w:type="pct"/>
          <w:shd w:val="clear" w:color="auto" w:fill="FFFF00"/>
          <w:vAlign w:val="center"/>
        </w:tcPr>
        <w:p w:rsidR="003D6FE6" w:rsidRPr="00A4463F" w:rsidRDefault="003D6FE6" w:rsidP="00AA0121">
          <w:pPr>
            <w:pStyle w:val="Footer"/>
            <w:tabs>
              <w:tab w:val="clear" w:pos="4680"/>
              <w:tab w:val="clear" w:pos="9360"/>
            </w:tabs>
            <w:spacing w:before="40" w:after="40"/>
            <w:ind w:left="144" w:right="144"/>
            <w:rPr>
              <w:rFonts w:ascii="Brush Script MT" w:hAnsi="Brush Script MT"/>
              <w:b/>
              <w:color w:val="002060"/>
              <w:sz w:val="2"/>
              <w:szCs w:val="28"/>
            </w:rPr>
          </w:pPr>
          <w:r w:rsidRPr="00A4463F">
            <w:rPr>
              <w:noProof/>
              <w:color w:val="002060"/>
              <w:lang w:eastAsia="en-PH"/>
            </w:rPr>
            <w:drawing>
              <wp:anchor distT="0" distB="0" distL="114300" distR="114300" simplePos="0" relativeHeight="251670528" behindDoc="0" locked="0" layoutInCell="1" allowOverlap="1" wp14:anchorId="70EB0FA0" wp14:editId="04C36158">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3D6FE6" w:rsidRPr="00A4463F" w:rsidRDefault="003D6FE6"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3D6FE6" w:rsidRPr="00A4463F" w:rsidRDefault="003D6FE6" w:rsidP="00AA0121">
          <w:pPr>
            <w:pStyle w:val="Footer"/>
            <w:tabs>
              <w:tab w:val="clear" w:pos="4680"/>
              <w:tab w:val="clear" w:pos="9360"/>
            </w:tabs>
            <w:spacing w:before="40" w:after="40"/>
            <w:ind w:right="144" w:hanging="449"/>
            <w:rPr>
              <w:b/>
              <w:color w:val="002060"/>
              <w:sz w:val="28"/>
              <w:szCs w:val="28"/>
            </w:rPr>
          </w:pPr>
          <w:r w:rsidRPr="00A4463F">
            <w:rPr>
              <w:rFonts w:ascii="Brush Script MT" w:hAnsi="Brush Script MT"/>
              <w:b/>
              <w:color w:val="002060"/>
              <w:sz w:val="36"/>
              <w:szCs w:val="28"/>
            </w:rPr>
            <w:t xml:space="preserve">Ma           </w:t>
          </w:r>
          <w:proofErr w:type="spellStart"/>
          <w:r w:rsidRPr="00A4463F">
            <w:rPr>
              <w:rFonts w:ascii="Brush Script MT" w:hAnsi="Brush Script MT"/>
              <w:b/>
              <w:color w:val="002060"/>
              <w:sz w:val="36"/>
              <w:szCs w:val="28"/>
            </w:rPr>
            <w:t>Mangaldan</w:t>
          </w:r>
          <w:proofErr w:type="spellEnd"/>
          <w:r w:rsidRPr="00A4463F">
            <w:rPr>
              <w:rFonts w:ascii="Brush Script MT" w:hAnsi="Brush Script MT"/>
              <w:b/>
              <w:color w:val="002060"/>
              <w:sz w:val="36"/>
              <w:szCs w:val="28"/>
            </w:rPr>
            <w:t xml:space="preserve">, </w:t>
          </w:r>
          <w:proofErr w:type="spellStart"/>
          <w:r w:rsidRPr="00A4463F">
            <w:rPr>
              <w:rFonts w:ascii="Brush Script MT" w:hAnsi="Brush Script MT"/>
              <w:b/>
              <w:color w:val="002060"/>
              <w:sz w:val="36"/>
              <w:szCs w:val="28"/>
            </w:rPr>
            <w:t>Pangasinan</w:t>
          </w:r>
          <w:proofErr w:type="spellEnd"/>
          <w:r w:rsidRPr="00A4463F">
            <w:rPr>
              <w:rFonts w:ascii="Brush Script MT" w:hAnsi="Brush Script MT"/>
              <w:b/>
              <w:color w:val="002060"/>
              <w:sz w:val="36"/>
              <w:szCs w:val="28"/>
            </w:rPr>
            <w:t xml:space="preserve">   </w:t>
          </w:r>
          <w:r w:rsidRPr="00A4463F">
            <w:rPr>
              <w:rFonts w:ascii="Berlin Sans FB Demi" w:hAnsi="Berlin Sans FB Demi"/>
              <w:b/>
              <w:color w:val="002060"/>
              <w:sz w:val="28"/>
              <w:szCs w:val="28"/>
            </w:rPr>
            <w:t>VOLUME 2: SECTORAL STUDIES</w:t>
          </w:r>
        </w:p>
      </w:tc>
      <w:tc>
        <w:tcPr>
          <w:tcW w:w="455" w:type="pct"/>
          <w:shd w:val="clear" w:color="auto" w:fill="002060"/>
          <w:vAlign w:val="center"/>
        </w:tcPr>
        <w:p w:rsidR="003D6FE6" w:rsidRPr="00A4463F" w:rsidRDefault="003D6FE6"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A4463F">
            <w:rPr>
              <w:rFonts w:ascii="Berlin Sans FB Demi" w:hAnsi="Berlin Sans FB Demi"/>
              <w:color w:val="FFFFFF" w:themeColor="background1"/>
              <w:sz w:val="28"/>
              <w:szCs w:val="28"/>
            </w:rPr>
            <w:fldChar w:fldCharType="begin"/>
          </w:r>
          <w:r w:rsidRPr="00A4463F">
            <w:rPr>
              <w:rFonts w:ascii="Berlin Sans FB Demi" w:hAnsi="Berlin Sans FB Demi"/>
              <w:color w:val="FFFFFF" w:themeColor="background1"/>
              <w:sz w:val="28"/>
              <w:szCs w:val="28"/>
            </w:rPr>
            <w:instrText xml:space="preserve"> PAGE   \* MERGEFORMAT </w:instrText>
          </w:r>
          <w:r w:rsidRPr="00A4463F">
            <w:rPr>
              <w:rFonts w:ascii="Berlin Sans FB Demi" w:hAnsi="Berlin Sans FB Demi"/>
              <w:color w:val="FFFFFF" w:themeColor="background1"/>
              <w:sz w:val="28"/>
              <w:szCs w:val="28"/>
            </w:rPr>
            <w:fldChar w:fldCharType="separate"/>
          </w:r>
          <w:r w:rsidR="00DB0D83">
            <w:rPr>
              <w:rFonts w:ascii="Berlin Sans FB Demi" w:hAnsi="Berlin Sans FB Demi"/>
              <w:noProof/>
              <w:color w:val="FFFFFF" w:themeColor="background1"/>
              <w:sz w:val="28"/>
              <w:szCs w:val="28"/>
            </w:rPr>
            <w:t>113</w:t>
          </w:r>
          <w:r w:rsidRPr="00A4463F">
            <w:rPr>
              <w:rFonts w:ascii="Berlin Sans FB Demi" w:hAnsi="Berlin Sans FB Demi"/>
              <w:noProof/>
              <w:color w:val="FFFFFF" w:themeColor="background1"/>
              <w:sz w:val="28"/>
              <w:szCs w:val="28"/>
            </w:rPr>
            <w:fldChar w:fldCharType="end"/>
          </w:r>
        </w:p>
      </w:tc>
    </w:tr>
  </w:tbl>
  <w:p w:rsidR="003D6FE6" w:rsidRPr="00A4463F" w:rsidRDefault="003D6FE6" w:rsidP="003D6FE6">
    <w:pPr>
      <w:pStyle w:val="NoSpacing"/>
      <w:rPr>
        <w:color w:val="00206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4177"/>
      <w:docPartObj>
        <w:docPartGallery w:val="Page Numbers (Bottom of Page)"/>
        <w:docPartUnique/>
      </w:docPartObj>
    </w:sdtPr>
    <w:sdtEndPr>
      <w:rPr>
        <w:noProof/>
      </w:rPr>
    </w:sdtEndPr>
    <w:sdtContent>
      <w:p w:rsidR="000664ED" w:rsidRDefault="00E22278">
        <w:pPr>
          <w:pStyle w:val="Footer"/>
          <w:jc w:val="right"/>
        </w:pPr>
        <w:r>
          <w:fldChar w:fldCharType="begin"/>
        </w:r>
        <w:r>
          <w:instrText xml:space="preserve"> PAGE   \* MERGEFORMAT </w:instrText>
        </w:r>
        <w:r>
          <w:fldChar w:fldCharType="separate"/>
        </w:r>
        <w:r w:rsidR="000664ED">
          <w:rPr>
            <w:noProof/>
          </w:rPr>
          <w:t>1</w:t>
        </w:r>
        <w:r>
          <w:rPr>
            <w:noProof/>
          </w:rPr>
          <w:fldChar w:fldCharType="end"/>
        </w:r>
      </w:p>
    </w:sdtContent>
  </w:sdt>
  <w:p w:rsidR="000664ED" w:rsidRDefault="000664ED">
    <w:pPr>
      <w:pStyle w:val="Footer"/>
    </w:pPr>
  </w:p>
  <w:p w:rsidR="000664ED" w:rsidRDefault="000664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31"/>
      <w:gridCol w:w="959"/>
    </w:tblGrid>
    <w:tr w:rsidR="000664ED" w:rsidTr="004578AF">
      <w:tc>
        <w:tcPr>
          <w:tcW w:w="4500" w:type="pct"/>
          <w:tcBorders>
            <w:top w:val="single" w:sz="4" w:space="0" w:color="000000" w:themeColor="text1"/>
          </w:tcBorders>
        </w:tcPr>
        <w:p w:rsidR="000664ED" w:rsidRPr="004578AF" w:rsidRDefault="000664ED" w:rsidP="005C4ADB">
          <w:pPr>
            <w:pStyle w:val="Footer"/>
            <w:rPr>
              <w:rFonts w:ascii="Brush Script MT" w:hAnsi="Brush Script MT"/>
              <w:sz w:val="36"/>
              <w:szCs w:val="36"/>
            </w:rPr>
          </w:pPr>
          <w:r>
            <w:rPr>
              <w:noProof/>
              <w:lang w:eastAsia="en-PH"/>
            </w:rPr>
            <w:drawing>
              <wp:anchor distT="0" distB="0" distL="114300" distR="114300" simplePos="0" relativeHeight="251663360" behindDoc="0" locked="0" layoutInCell="1" allowOverlap="1">
                <wp:simplePos x="0" y="0"/>
                <wp:positionH relativeFrom="column">
                  <wp:posOffset>-411295</wp:posOffset>
                </wp:positionH>
                <wp:positionV relativeFrom="paragraph">
                  <wp:posOffset>-19840</wp:posOffset>
                </wp:positionV>
                <wp:extent cx="798830" cy="805180"/>
                <wp:effectExtent l="0" t="0" r="1270" b="0"/>
                <wp:wrapNone/>
                <wp:docPr id="22" name="Picture 22"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8830" cy="805180"/>
                        </a:xfrm>
                        <a:prstGeom prst="rect">
                          <a:avLst/>
                        </a:prstGeom>
                        <a:noFill/>
                        <a:ln>
                          <a:noFill/>
                        </a:ln>
                      </pic:spPr>
                    </pic:pic>
                  </a:graphicData>
                </a:graphic>
              </wp:anchor>
            </w:drawing>
          </w:r>
          <w:proofErr w:type="spellStart"/>
          <w:r w:rsidRPr="005C4ADB">
            <w:rPr>
              <w:rFonts w:ascii="Brush Script MT" w:hAnsi="Brush Script MT"/>
              <w:color w:val="002060"/>
              <w:sz w:val="36"/>
              <w:szCs w:val="36"/>
            </w:rPr>
            <w:t>Mangaldan</w:t>
          </w:r>
          <w:proofErr w:type="spellEnd"/>
          <w:r w:rsidRPr="005C4ADB">
            <w:rPr>
              <w:rFonts w:ascii="Brush Script MT" w:hAnsi="Brush Script MT"/>
              <w:color w:val="002060"/>
              <w:sz w:val="36"/>
              <w:szCs w:val="36"/>
            </w:rPr>
            <w:t xml:space="preserve">, </w:t>
          </w:r>
          <w:proofErr w:type="spellStart"/>
          <w:r w:rsidRPr="005C4ADB">
            <w:rPr>
              <w:rFonts w:ascii="Brush Script MT" w:hAnsi="Brush Script MT"/>
              <w:color w:val="002060"/>
              <w:sz w:val="36"/>
              <w:szCs w:val="36"/>
            </w:rPr>
            <w:t>Pangasinan</w:t>
          </w:r>
          <w:proofErr w:type="spellEnd"/>
        </w:p>
      </w:tc>
      <w:tc>
        <w:tcPr>
          <w:tcW w:w="500" w:type="pct"/>
          <w:tcBorders>
            <w:top w:val="single" w:sz="4" w:space="0" w:color="C0504D" w:themeColor="accent2"/>
          </w:tcBorders>
          <w:shd w:val="clear" w:color="auto" w:fill="76923C" w:themeFill="accent3" w:themeFillShade="BF"/>
        </w:tcPr>
        <w:p w:rsidR="000664ED" w:rsidRPr="004578AF" w:rsidRDefault="00B21458">
          <w:pPr>
            <w:pStyle w:val="Header"/>
            <w:rPr>
              <w:rFonts w:ascii="Brush Script MT" w:hAnsi="Brush Script MT"/>
              <w:color w:val="FFFFFF" w:themeColor="background1"/>
              <w:sz w:val="36"/>
              <w:szCs w:val="36"/>
            </w:rPr>
          </w:pPr>
          <w:r w:rsidRPr="004578AF">
            <w:rPr>
              <w:rFonts w:ascii="Brush Script MT" w:hAnsi="Brush Script MT"/>
              <w:sz w:val="36"/>
              <w:szCs w:val="36"/>
            </w:rPr>
            <w:fldChar w:fldCharType="begin"/>
          </w:r>
          <w:r w:rsidR="000664ED" w:rsidRPr="004578AF">
            <w:rPr>
              <w:rFonts w:ascii="Brush Script MT" w:hAnsi="Brush Script MT"/>
              <w:sz w:val="36"/>
              <w:szCs w:val="36"/>
            </w:rPr>
            <w:instrText xml:space="preserve"> PAGE   \* MERGEFORMAT </w:instrText>
          </w:r>
          <w:r w:rsidRPr="004578AF">
            <w:rPr>
              <w:rFonts w:ascii="Brush Script MT" w:hAnsi="Brush Script MT"/>
              <w:sz w:val="36"/>
              <w:szCs w:val="36"/>
            </w:rPr>
            <w:fldChar w:fldCharType="separate"/>
          </w:r>
          <w:r w:rsidR="00DA4AC3" w:rsidRPr="00DA4AC3">
            <w:rPr>
              <w:rFonts w:ascii="Brush Script MT" w:hAnsi="Brush Script MT"/>
              <w:noProof/>
              <w:color w:val="FFFFFF" w:themeColor="background1"/>
              <w:sz w:val="36"/>
              <w:szCs w:val="36"/>
            </w:rPr>
            <w:t>9</w:t>
          </w:r>
          <w:r w:rsidRPr="004578AF">
            <w:rPr>
              <w:rFonts w:ascii="Brush Script MT" w:hAnsi="Brush Script MT"/>
              <w:noProof/>
              <w:color w:val="FFFFFF" w:themeColor="background1"/>
              <w:sz w:val="36"/>
              <w:szCs w:val="36"/>
            </w:rPr>
            <w:fldChar w:fldCharType="end"/>
          </w:r>
        </w:p>
      </w:tc>
    </w:tr>
  </w:tbl>
  <w:p w:rsidR="000664ED" w:rsidRDefault="00066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DA8" w:rsidRDefault="00022DA8" w:rsidP="005E15F7">
      <w:pPr>
        <w:spacing w:after="0" w:line="240" w:lineRule="auto"/>
      </w:pPr>
      <w:r>
        <w:separator/>
      </w:r>
    </w:p>
  </w:footnote>
  <w:footnote w:type="continuationSeparator" w:id="0">
    <w:p w:rsidR="00022DA8" w:rsidRDefault="00022DA8"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4ED" w:rsidRDefault="00022DA8">
    <w:pPr>
      <w:pStyle w:val="Header"/>
    </w:pPr>
    <w:r>
      <w:rPr>
        <w:noProof/>
        <w:lang w:val="en-US"/>
      </w:rPr>
      <w:pict>
        <v:shapetype id="_x0000_t202" coordsize="21600,21600" o:spt="202" path="m,l,21600r21600,l21600,xe">
          <v:stroke joinstyle="miter"/>
          <v:path gradientshapeok="t" o:connecttype="rect"/>
        </v:shapetype>
        <v:shape id="Text Box 17" o:spid="_x0000_s2054" type="#_x0000_t202" style="position:absolute;margin-left:531.2pt;margin-top:11.3pt;width:63.6pt;height:60.45pt;z-index:2516684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Text Box 17">
            <w:txbxContent>
              <w:p w:rsidR="000664ED" w:rsidRPr="00A60BDA" w:rsidRDefault="00A60BDA" w:rsidP="004F003E">
                <w:pPr>
                  <w:jc w:val="center"/>
                  <w:rPr>
                    <w:rFonts w:ascii="Copperplate Gothic Light" w:hAnsi="Copperplate Gothic Light"/>
                    <w:b/>
                    <w:color w:val="FFFF00"/>
                    <w:sz w:val="72"/>
                  </w:rPr>
                </w:pPr>
                <w:proofErr w:type="spellStart"/>
                <w:proofErr w:type="gramStart"/>
                <w:r w:rsidRPr="00A60BDA">
                  <w:rPr>
                    <w:rFonts w:ascii="Copperplate Gothic Light" w:hAnsi="Copperplate Gothic Light"/>
                    <w:b/>
                    <w:color w:val="FFFF00"/>
                    <w:sz w:val="72"/>
                  </w:rPr>
                  <w:t>po</w:t>
                </w:r>
                <w:proofErr w:type="spellEnd"/>
                <w:proofErr w:type="gramEnd"/>
              </w:p>
              <w:p w:rsidR="000664ED" w:rsidRPr="00A60BDA" w:rsidRDefault="000664ED" w:rsidP="004F003E">
                <w:pPr>
                  <w:rPr>
                    <w:rFonts w:ascii="Copperplate Gothic Light" w:hAnsi="Copperplate Gothic Light"/>
                    <w:sz w:val="4"/>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6BA" w:rsidRDefault="00022DA8">
    <w:pPr>
      <w:pStyle w:val="Header"/>
    </w:pPr>
    <w:r>
      <w:rPr>
        <w:noProof/>
        <w:lang w:eastAsia="en-PH"/>
      </w:rPr>
      <w:pict>
        <v:shapetype id="_x0000_t202" coordsize="21600,21600" o:spt="202" path="m,l,21600r21600,l21600,xe">
          <v:stroke joinstyle="miter"/>
          <v:path gradientshapeok="t" o:connecttype="rect"/>
        </v:shapetype>
        <v:shape id="_x0000_s2056" type="#_x0000_t202" style="position:absolute;margin-left:529.1pt;margin-top:8.15pt;width:63.6pt;height:60.45pt;z-index:25167360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_x0000_s2056">
            <w:txbxContent>
              <w:p w:rsidR="00CB26BA" w:rsidRPr="00A60BDA" w:rsidRDefault="00CB26BA" w:rsidP="00CB26BA">
                <w:pPr>
                  <w:jc w:val="center"/>
                  <w:rPr>
                    <w:rFonts w:ascii="Copperplate Gothic Light" w:hAnsi="Copperplate Gothic Light"/>
                    <w:b/>
                    <w:color w:val="FFFF00"/>
                    <w:sz w:val="72"/>
                  </w:rPr>
                </w:pPr>
                <w:proofErr w:type="spellStart"/>
                <w:proofErr w:type="gramStart"/>
                <w:r w:rsidRPr="00A60BDA">
                  <w:rPr>
                    <w:rFonts w:ascii="Copperplate Gothic Light" w:hAnsi="Copperplate Gothic Light"/>
                    <w:b/>
                    <w:color w:val="FFFF00"/>
                    <w:sz w:val="72"/>
                  </w:rPr>
                  <w:t>po</w:t>
                </w:r>
                <w:proofErr w:type="spellEnd"/>
                <w:proofErr w:type="gramEnd"/>
              </w:p>
              <w:p w:rsidR="00CB26BA" w:rsidRPr="00A60BDA" w:rsidRDefault="00CB26BA" w:rsidP="00CB26BA">
                <w:pPr>
                  <w:rPr>
                    <w:rFonts w:ascii="Copperplate Gothic Light" w:hAnsi="Copperplate Gothic Light"/>
                    <w:sz w:val="4"/>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63B3"/>
    <w:multiLevelType w:val="hybridMultilevel"/>
    <w:tmpl w:val="040823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3">
    <w:nsid w:val="49410FF6"/>
    <w:multiLevelType w:val="hybridMultilevel"/>
    <w:tmpl w:val="8A0EE634"/>
    <w:lvl w:ilvl="0" w:tplc="90707E3E">
      <w:start w:val="1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A343D6"/>
    <w:multiLevelType w:val="hybridMultilevel"/>
    <w:tmpl w:val="2758B5AE"/>
    <w:lvl w:ilvl="0" w:tplc="5C2C742E">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6">
    <w:nsid w:val="733336E9"/>
    <w:multiLevelType w:val="hybridMultilevel"/>
    <w:tmpl w:val="A04863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3853DA"/>
    <w:multiLevelType w:val="hybridMultilevel"/>
    <w:tmpl w:val="0FAA3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483067"/>
    <w:multiLevelType w:val="hybridMultilevel"/>
    <w:tmpl w:val="A022A69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7"/>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1FFC"/>
    <w:rsid w:val="000032E4"/>
    <w:rsid w:val="00005437"/>
    <w:rsid w:val="00013F4D"/>
    <w:rsid w:val="00022DA8"/>
    <w:rsid w:val="000664ED"/>
    <w:rsid w:val="00077EE4"/>
    <w:rsid w:val="00094FEA"/>
    <w:rsid w:val="00115B4C"/>
    <w:rsid w:val="00134657"/>
    <w:rsid w:val="00136CE9"/>
    <w:rsid w:val="001449F5"/>
    <w:rsid w:val="00175AD9"/>
    <w:rsid w:val="001B72EE"/>
    <w:rsid w:val="001C28C5"/>
    <w:rsid w:val="001E780E"/>
    <w:rsid w:val="001F3E81"/>
    <w:rsid w:val="00201DD6"/>
    <w:rsid w:val="002211B3"/>
    <w:rsid w:val="002217A6"/>
    <w:rsid w:val="00232001"/>
    <w:rsid w:val="00235E63"/>
    <w:rsid w:val="0024327B"/>
    <w:rsid w:val="002439D6"/>
    <w:rsid w:val="00260AC0"/>
    <w:rsid w:val="002733C7"/>
    <w:rsid w:val="002910E0"/>
    <w:rsid w:val="002C4689"/>
    <w:rsid w:val="002E0DC3"/>
    <w:rsid w:val="003009EB"/>
    <w:rsid w:val="00353970"/>
    <w:rsid w:val="00355AF0"/>
    <w:rsid w:val="0037679C"/>
    <w:rsid w:val="003813F4"/>
    <w:rsid w:val="003D195E"/>
    <w:rsid w:val="003D5DBA"/>
    <w:rsid w:val="003D6FE6"/>
    <w:rsid w:val="003E6A96"/>
    <w:rsid w:val="00430486"/>
    <w:rsid w:val="004333F5"/>
    <w:rsid w:val="00434B41"/>
    <w:rsid w:val="00435D14"/>
    <w:rsid w:val="004578AF"/>
    <w:rsid w:val="004653C7"/>
    <w:rsid w:val="00487401"/>
    <w:rsid w:val="00492A44"/>
    <w:rsid w:val="004B20F3"/>
    <w:rsid w:val="004B3244"/>
    <w:rsid w:val="004B516F"/>
    <w:rsid w:val="004C28BA"/>
    <w:rsid w:val="004E1170"/>
    <w:rsid w:val="004F003E"/>
    <w:rsid w:val="0050516E"/>
    <w:rsid w:val="00521564"/>
    <w:rsid w:val="00521E4C"/>
    <w:rsid w:val="005423C1"/>
    <w:rsid w:val="00547D96"/>
    <w:rsid w:val="00567C28"/>
    <w:rsid w:val="00586F3C"/>
    <w:rsid w:val="005A4A0E"/>
    <w:rsid w:val="005B354C"/>
    <w:rsid w:val="005C4585"/>
    <w:rsid w:val="005C4ADB"/>
    <w:rsid w:val="005D6BD5"/>
    <w:rsid w:val="005E15F7"/>
    <w:rsid w:val="005E6FF2"/>
    <w:rsid w:val="00611AF4"/>
    <w:rsid w:val="00615BB7"/>
    <w:rsid w:val="00620C12"/>
    <w:rsid w:val="00643615"/>
    <w:rsid w:val="0064492D"/>
    <w:rsid w:val="0064620D"/>
    <w:rsid w:val="006607BA"/>
    <w:rsid w:val="006837CC"/>
    <w:rsid w:val="006C1354"/>
    <w:rsid w:val="006E4387"/>
    <w:rsid w:val="006F7BFB"/>
    <w:rsid w:val="0070016C"/>
    <w:rsid w:val="00705699"/>
    <w:rsid w:val="00705FB4"/>
    <w:rsid w:val="00707388"/>
    <w:rsid w:val="00710DF6"/>
    <w:rsid w:val="007360B7"/>
    <w:rsid w:val="00745647"/>
    <w:rsid w:val="0077099E"/>
    <w:rsid w:val="007800C3"/>
    <w:rsid w:val="00790EB1"/>
    <w:rsid w:val="007924A8"/>
    <w:rsid w:val="007F46F0"/>
    <w:rsid w:val="00804B33"/>
    <w:rsid w:val="00804C56"/>
    <w:rsid w:val="008064AD"/>
    <w:rsid w:val="008468BD"/>
    <w:rsid w:val="0086129C"/>
    <w:rsid w:val="00875960"/>
    <w:rsid w:val="00887328"/>
    <w:rsid w:val="00893956"/>
    <w:rsid w:val="008A0A5C"/>
    <w:rsid w:val="008A1FFC"/>
    <w:rsid w:val="008B713D"/>
    <w:rsid w:val="008D6A71"/>
    <w:rsid w:val="008E3A29"/>
    <w:rsid w:val="008F4FD6"/>
    <w:rsid w:val="00914AA7"/>
    <w:rsid w:val="0093481B"/>
    <w:rsid w:val="00935D86"/>
    <w:rsid w:val="00937CF3"/>
    <w:rsid w:val="00942162"/>
    <w:rsid w:val="00950B3E"/>
    <w:rsid w:val="009863B1"/>
    <w:rsid w:val="009905FD"/>
    <w:rsid w:val="009E0A43"/>
    <w:rsid w:val="009E0AF1"/>
    <w:rsid w:val="00A20A11"/>
    <w:rsid w:val="00A21CBA"/>
    <w:rsid w:val="00A36715"/>
    <w:rsid w:val="00A4463F"/>
    <w:rsid w:val="00A60BDA"/>
    <w:rsid w:val="00A932B3"/>
    <w:rsid w:val="00A94D25"/>
    <w:rsid w:val="00AB7A00"/>
    <w:rsid w:val="00AD7570"/>
    <w:rsid w:val="00AD7BEF"/>
    <w:rsid w:val="00B142D0"/>
    <w:rsid w:val="00B21458"/>
    <w:rsid w:val="00B31756"/>
    <w:rsid w:val="00B4385F"/>
    <w:rsid w:val="00B637A6"/>
    <w:rsid w:val="00B7464C"/>
    <w:rsid w:val="00B862B9"/>
    <w:rsid w:val="00BB0AC7"/>
    <w:rsid w:val="00BB1100"/>
    <w:rsid w:val="00BC126B"/>
    <w:rsid w:val="00BC5ACC"/>
    <w:rsid w:val="00C53A26"/>
    <w:rsid w:val="00C60C09"/>
    <w:rsid w:val="00C62283"/>
    <w:rsid w:val="00C646CD"/>
    <w:rsid w:val="00C7548F"/>
    <w:rsid w:val="00C82267"/>
    <w:rsid w:val="00C84009"/>
    <w:rsid w:val="00C851FC"/>
    <w:rsid w:val="00C9092F"/>
    <w:rsid w:val="00CB26BA"/>
    <w:rsid w:val="00CB39AA"/>
    <w:rsid w:val="00CC0612"/>
    <w:rsid w:val="00CE409E"/>
    <w:rsid w:val="00CF1EAE"/>
    <w:rsid w:val="00D02E5D"/>
    <w:rsid w:val="00D03286"/>
    <w:rsid w:val="00D21D3F"/>
    <w:rsid w:val="00D34864"/>
    <w:rsid w:val="00D44675"/>
    <w:rsid w:val="00D62FD9"/>
    <w:rsid w:val="00D65C9D"/>
    <w:rsid w:val="00D72F53"/>
    <w:rsid w:val="00D94959"/>
    <w:rsid w:val="00DA4AC3"/>
    <w:rsid w:val="00DA5EBA"/>
    <w:rsid w:val="00DA6573"/>
    <w:rsid w:val="00DB0D83"/>
    <w:rsid w:val="00DB5859"/>
    <w:rsid w:val="00DF0D53"/>
    <w:rsid w:val="00E0011E"/>
    <w:rsid w:val="00E11BA5"/>
    <w:rsid w:val="00E22278"/>
    <w:rsid w:val="00E4176C"/>
    <w:rsid w:val="00E43A39"/>
    <w:rsid w:val="00E61D77"/>
    <w:rsid w:val="00E72CC2"/>
    <w:rsid w:val="00E81371"/>
    <w:rsid w:val="00E8254D"/>
    <w:rsid w:val="00E830D4"/>
    <w:rsid w:val="00E848B0"/>
    <w:rsid w:val="00E9199E"/>
    <w:rsid w:val="00EA627C"/>
    <w:rsid w:val="00EC64BD"/>
    <w:rsid w:val="00ED1F0B"/>
    <w:rsid w:val="00ED3341"/>
    <w:rsid w:val="00F031D7"/>
    <w:rsid w:val="00F157D9"/>
    <w:rsid w:val="00F25E1B"/>
    <w:rsid w:val="00F40615"/>
    <w:rsid w:val="00F60381"/>
    <w:rsid w:val="00F80F12"/>
    <w:rsid w:val="00F91F8D"/>
    <w:rsid w:val="00FA0D1F"/>
    <w:rsid w:val="00FA714B"/>
    <w:rsid w:val="00FB33D5"/>
    <w:rsid w:val="00FB69A9"/>
    <w:rsid w:val="00FE5DFD"/>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8BD"/>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3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2C468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C4689"/>
    <w:rPr>
      <w:rFonts w:eastAsiaTheme="minorEastAsia"/>
      <w:lang w:val="en-US"/>
    </w:rPr>
  </w:style>
  <w:style w:type="paragraph" w:styleId="NormalWeb">
    <w:name w:val="Normal (Web)"/>
    <w:basedOn w:val="Normal"/>
    <w:uiPriority w:val="99"/>
    <w:unhideWhenUsed/>
    <w:rsid w:val="002C468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2C4689"/>
    <w:pPr>
      <w:spacing w:after="0" w:line="240" w:lineRule="auto"/>
    </w:pPr>
    <w:rPr>
      <w:rFonts w:ascii="Tahoma" w:eastAsiaTheme="minorEastAsia" w:hAnsi="Tahoma" w:cs="Tahoma"/>
      <w:sz w:val="16"/>
      <w:szCs w:val="16"/>
      <w:lang w:eastAsia="en-PH"/>
    </w:rPr>
  </w:style>
  <w:style w:type="character" w:customStyle="1" w:styleId="DocumentMapChar">
    <w:name w:val="Document Map Char"/>
    <w:basedOn w:val="DefaultParagraphFont"/>
    <w:link w:val="DocumentMap"/>
    <w:uiPriority w:val="99"/>
    <w:semiHidden/>
    <w:rsid w:val="002C4689"/>
    <w:rPr>
      <w:rFonts w:ascii="Tahoma" w:eastAsiaTheme="minorEastAsia" w:hAnsi="Tahoma" w:cs="Tahoma"/>
      <w:sz w:val="16"/>
      <w:szCs w:val="16"/>
      <w:lang w:eastAsia="en-PH"/>
    </w:rPr>
  </w:style>
  <w:style w:type="paragraph" w:styleId="Revision">
    <w:name w:val="Revision"/>
    <w:hidden/>
    <w:uiPriority w:val="99"/>
    <w:semiHidden/>
    <w:rsid w:val="002C4689"/>
    <w:pPr>
      <w:spacing w:after="0" w:line="240" w:lineRule="auto"/>
    </w:pPr>
    <w:rPr>
      <w:rFonts w:eastAsiaTheme="minorEastAsia"/>
      <w:lang w:eastAsia="en-PH"/>
    </w:rPr>
  </w:style>
  <w:style w:type="table" w:customStyle="1" w:styleId="GridTable1Light">
    <w:name w:val="Grid Table 1 Light"/>
    <w:basedOn w:val="TableNormal"/>
    <w:uiPriority w:val="46"/>
    <w:rsid w:val="002C4689"/>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2C4689"/>
  </w:style>
  <w:style w:type="character" w:styleId="Hyperlink">
    <w:name w:val="Hyperlink"/>
    <w:basedOn w:val="DefaultParagraphFont"/>
    <w:uiPriority w:val="99"/>
    <w:unhideWhenUsed/>
    <w:rsid w:val="002C4689"/>
    <w:rPr>
      <w:color w:val="0000FF" w:themeColor="hyperlink"/>
      <w:u w:val="single"/>
    </w:rPr>
  </w:style>
  <w:style w:type="character" w:styleId="Strong">
    <w:name w:val="Strong"/>
    <w:basedOn w:val="DefaultParagraphFont"/>
    <w:uiPriority w:val="22"/>
    <w:qFormat/>
    <w:rsid w:val="002C4689"/>
    <w:rPr>
      <w:b/>
      <w:bCs/>
    </w:rPr>
  </w:style>
  <w:style w:type="table" w:customStyle="1" w:styleId="TableGrid1">
    <w:name w:val="Table Grid1"/>
    <w:basedOn w:val="TableNormal"/>
    <w:next w:val="TableGrid"/>
    <w:uiPriority w:val="59"/>
    <w:rsid w:val="002C468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C468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C468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86B325-AE11-437A-A24A-0A5F6A0B2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Volume 2: Comprehensive Land Use Plan</vt:lpstr>
    </vt:vector>
  </TitlesOfParts>
  <Company/>
  <LinksUpToDate>false</LinksUpToDate>
  <CharactersWithSpaces>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Comprehensive Land Use Plan</dc:title>
  <dc:creator>samsung</dc:creator>
  <cp:lastModifiedBy>mpdcmangaldan2016</cp:lastModifiedBy>
  <cp:revision>27</cp:revision>
  <cp:lastPrinted>2017-05-02T08:34:00Z</cp:lastPrinted>
  <dcterms:created xsi:type="dcterms:W3CDTF">2016-08-19T21:47:00Z</dcterms:created>
  <dcterms:modified xsi:type="dcterms:W3CDTF">2017-05-02T08:34:00Z</dcterms:modified>
</cp:coreProperties>
</file>